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36" w:after="360"/>
      </w:pPr>
      <w:r>
        <w:rPr>
          <w:rFonts w:ascii="等线" w:hAnsi="等线" w:eastAsia="等线"/>
          <w:b w:val="0"/>
          <w:i w:val="0"/>
          <w:color w:val="4C4C4C"/>
          <w:sz w:val="18"/>
        </w:rPr>
        <w:t>应届生城市研究 | 官方规则优先 | 证据分级</w:t>
      </w:r>
    </w:p>
    <w:p>
      <w:pPr>
        <w:pStyle w:val="Title"/>
        <w:spacing w:after="280"/>
      </w:pPr>
      <w:r>
        <w:rPr>
          <w:rFonts w:ascii="等线" w:hAnsi="等线" w:eastAsia="等线"/>
          <w:b/>
          <w:i w:val="0"/>
          <w:color w:val="000000"/>
          <w:sz w:val="56"/>
        </w:rPr>
        <w:t>2027届电气工程及其自动化本科应届生临港就业与现金测算报告</w:t>
      </w:r>
    </w:p>
    <w:p>
      <w:pPr>
        <w:spacing w:after="520"/>
      </w:pPr>
      <w:r>
        <w:rPr>
          <w:rFonts w:ascii="等线" w:hAnsi="等线" w:eastAsia="等线"/>
          <w:b w:val="0"/>
          <w:i w:val="0"/>
          <w:color w:val="4C4C4C"/>
          <w:sz w:val="26"/>
        </w:rPr>
        <w:t>上海市浦东新区临港新片区核心区 | 数据截止 2026-10-26</w:t>
      </w:r>
    </w:p>
    <w:tbl>
      <w:tblPr>
        <w:tblW w:type="auto" w:w="0"/>
        <w:jc w:val="center"/>
        <w:tblLayout w:type="fixed"/>
        <w:tblLook w:firstColumn="1" w:firstRow="1" w:lastColumn="0" w:lastRow="0" w:noHBand="0" w:noVBand="1" w:val="04A0"/>
      </w:tblPr>
      <w:tblGrid>
        <w:gridCol w:w="5040"/>
        <w:gridCol w:w="5040"/>
      </w:tblGrid>
      <w:tr>
        <w:tc>
          <w:tcPr>
            <w:tcW w:type="dxa" w:w="1944"/>
            <w:vAlign w:val="center"/>
            <w:tcMar>
              <w:top w:w="110" w:type="dxa"/>
              <w:start w:w="110" w:type="dxa"/>
              <w:bottom w:w="110" w:type="dxa"/>
              <w:end w:w="110" w:type="dxa"/>
            </w:tcMar>
            <w:shd w:fill="EAF1F7"/>
          </w:tcPr>
          <w:p>
            <w:pPr>
              <w:spacing w:after="0"/>
            </w:pPr>
            <w:r>
              <w:rPr>
                <w:rFonts w:ascii="等线" w:hAnsi="等线" w:eastAsia="等线"/>
                <w:b/>
                <w:i w:val="0"/>
                <w:color w:val="000000"/>
                <w:sz w:val="19"/>
              </w:rPr>
              <w:t>研究对象</w:t>
            </w:r>
          </w:p>
        </w:tc>
        <w:tc>
          <w:tcPr>
            <w:tcW w:type="dxa" w:w="6768"/>
            <w:vAlign w:val="center"/>
            <w:tcMar>
              <w:top w:w="110" w:type="dxa"/>
              <w:start w:w="110" w:type="dxa"/>
              <w:bottom w:w="110" w:type="dxa"/>
              <w:end w:w="110" w:type="dxa"/>
            </w:tcMar>
          </w:tcPr>
          <w:p>
            <w:pPr>
              <w:spacing w:after="0"/>
            </w:pPr>
            <w:r>
              <w:rPr>
                <w:rFonts w:ascii="等线" w:hAnsi="等线" w:eastAsia="等线"/>
                <w:b w:val="0"/>
                <w:i w:val="0"/>
                <w:color w:val="4C4C4C"/>
                <w:sz w:val="19"/>
              </w:rPr>
              <w:t>2027届，电气工程及其自动化，本科应届生</w:t>
            </w:r>
          </w:p>
        </w:tc>
      </w:tr>
      <w:tr>
        <w:tc>
          <w:tcPr>
            <w:tcW w:type="dxa" w:w="1944"/>
            <w:vAlign w:val="center"/>
            <w:tcMar>
              <w:top w:w="110" w:type="dxa"/>
              <w:start w:w="110" w:type="dxa"/>
              <w:bottom w:w="110" w:type="dxa"/>
              <w:end w:w="110" w:type="dxa"/>
            </w:tcMar>
            <w:shd w:fill="EAF1F7"/>
          </w:tcPr>
          <w:p>
            <w:pPr>
              <w:spacing w:after="0"/>
            </w:pPr>
            <w:r>
              <w:rPr>
                <w:rFonts w:ascii="等线" w:hAnsi="等线" w:eastAsia="等线"/>
                <w:b/>
                <w:i w:val="0"/>
                <w:color w:val="000000"/>
                <w:sz w:val="19"/>
              </w:rPr>
              <w:t>空间口径</w:t>
            </w:r>
          </w:p>
        </w:tc>
        <w:tc>
          <w:tcPr>
            <w:tcW w:type="dxa" w:w="6768"/>
            <w:vAlign w:val="center"/>
            <w:tcMar>
              <w:top w:w="110" w:type="dxa"/>
              <w:start w:w="110" w:type="dxa"/>
              <w:bottom w:w="110" w:type="dxa"/>
              <w:end w:w="110" w:type="dxa"/>
            </w:tcMar>
          </w:tcPr>
          <w:p>
            <w:pPr>
              <w:spacing w:after="0"/>
            </w:pPr>
            <w:r>
              <w:rPr>
                <w:rFonts w:ascii="等线" w:hAnsi="等线" w:eastAsia="等线"/>
                <w:b w:val="0"/>
                <w:i w:val="0"/>
                <w:color w:val="4C4C4C"/>
                <w:sz w:val="19"/>
              </w:rPr>
              <w:t>临港新片区，重点滴水湖与南汇新城核心区</w:t>
            </w:r>
          </w:p>
        </w:tc>
      </w:tr>
      <w:tr>
        <w:tc>
          <w:tcPr>
            <w:tcW w:type="dxa" w:w="1944"/>
            <w:vAlign w:val="center"/>
            <w:tcMar>
              <w:top w:w="110" w:type="dxa"/>
              <w:start w:w="110" w:type="dxa"/>
              <w:bottom w:w="110" w:type="dxa"/>
              <w:end w:w="110" w:type="dxa"/>
            </w:tcMar>
            <w:shd w:fill="EAF1F7"/>
          </w:tcPr>
          <w:p>
            <w:pPr>
              <w:spacing w:after="0"/>
            </w:pPr>
            <w:r>
              <w:rPr>
                <w:rFonts w:ascii="等线" w:hAnsi="等线" w:eastAsia="等线"/>
                <w:b/>
                <w:i w:val="0"/>
                <w:color w:val="000000"/>
                <w:sz w:val="19"/>
              </w:rPr>
              <w:t>薪资口径</w:t>
            </w:r>
          </w:p>
        </w:tc>
        <w:tc>
          <w:tcPr>
            <w:tcW w:type="dxa" w:w="6768"/>
            <w:vAlign w:val="center"/>
            <w:tcMar>
              <w:top w:w="110" w:type="dxa"/>
              <w:start w:w="110" w:type="dxa"/>
              <w:bottom w:w="110" w:type="dxa"/>
              <w:end w:w="110" w:type="dxa"/>
            </w:tcMar>
          </w:tcPr>
          <w:p>
            <w:pPr>
              <w:spacing w:after="0"/>
            </w:pPr>
            <w:r>
              <w:rPr>
                <w:rFonts w:ascii="等线" w:hAnsi="等线" w:eastAsia="等线"/>
                <w:b w:val="0"/>
                <w:i w:val="0"/>
                <w:color w:val="4C4C4C"/>
                <w:sz w:val="19"/>
              </w:rPr>
              <w:t>招聘广告税前固定月薪；未观测到本科2027目标岗薪资</w:t>
            </w:r>
          </w:p>
        </w:tc>
      </w:tr>
      <w:tr>
        <w:tc>
          <w:tcPr>
            <w:tcW w:type="dxa" w:w="1944"/>
            <w:vAlign w:val="center"/>
            <w:tcMar>
              <w:top w:w="110" w:type="dxa"/>
              <w:start w:w="110" w:type="dxa"/>
              <w:bottom w:w="110" w:type="dxa"/>
              <w:end w:w="110" w:type="dxa"/>
            </w:tcMar>
            <w:shd w:fill="EAF1F7"/>
          </w:tcPr>
          <w:p>
            <w:pPr>
              <w:spacing w:after="0"/>
            </w:pPr>
            <w:r>
              <w:rPr>
                <w:rFonts w:ascii="等线" w:hAnsi="等线" w:eastAsia="等线"/>
                <w:b/>
                <w:i w:val="0"/>
                <w:color w:val="000000"/>
                <w:sz w:val="19"/>
              </w:rPr>
              <w:t>数据版本</w:t>
            </w:r>
          </w:p>
        </w:tc>
        <w:tc>
          <w:tcPr>
            <w:tcW w:type="dxa" w:w="6768"/>
            <w:vAlign w:val="center"/>
            <w:tcMar>
              <w:top w:w="110" w:type="dxa"/>
              <w:start w:w="110" w:type="dxa"/>
              <w:bottom w:w="110" w:type="dxa"/>
              <w:end w:w="110" w:type="dxa"/>
            </w:tcMar>
          </w:tcPr>
          <w:p>
            <w:pPr>
              <w:spacing w:after="0"/>
            </w:pPr>
            <w:r>
              <w:rPr>
                <w:rFonts w:ascii="等线" w:hAnsi="等线" w:eastAsia="等线"/>
                <w:b w:val="0"/>
                <w:i w:val="0"/>
                <w:color w:val="4C4C4C"/>
                <w:sz w:val="19"/>
              </w:rPr>
              <w:t>2027EE-LG-20261026-v1  |  SHA-256 ab4ef7f5cd83</w:t>
            </w:r>
          </w:p>
        </w:tc>
      </w:tr>
    </w:tbl>
    <w:p>
      <w:pPr>
        <w:spacing w:before="1800" w:after="0"/>
      </w:pPr>
      <w:r>
        <w:rPr>
          <w:rFonts w:ascii="等线" w:hAnsi="等线" w:eastAsia="等线"/>
          <w:b/>
          <w:i w:val="0"/>
          <w:color w:val="4C4C4C"/>
          <w:sz w:val="18"/>
        </w:rPr>
        <w:t xml:space="preserve">核心判断  </w:t>
      </w:r>
      <w:r>
        <w:rPr>
          <w:rFonts w:ascii="等线" w:hAnsi="等线" w:eastAsia="等线"/>
          <w:b w:val="0"/>
          <w:i w:val="0"/>
          <w:color w:val="4C4C4C"/>
          <w:sz w:val="18"/>
        </w:rPr>
        <w:t>目前没有足够的透明样本支持“2027届临港电气本科薪资中位数”。报告以可核验岗位供给、官方税费规则和明确标注的薪资压力测试回答现金与生活成本问题。</w:t>
      </w:r>
    </w:p>
    <w:p>
      <w:r>
        <w:br w:type="page"/>
      </w:r>
    </w:p>
    <w:p>
      <w:pPr>
        <w:pStyle w:val="Heading1"/>
        <w:keepNext/>
      </w:pPr>
      <w:r>
        <w:rPr>
          <w:rFonts w:ascii="等线" w:hAnsi="等线" w:eastAsia="等线"/>
          <w:b/>
          <w:i w:val="0"/>
          <w:color w:val="000000"/>
          <w:sz w:val="36"/>
        </w:rPr>
        <w:t>一 结论摘要</w:t>
      </w:r>
    </w:p>
    <w:p>
      <w:pPr>
        <w:spacing w:after="100" w:line="300" w:lineRule="auto"/>
      </w:pPr>
      <w:r>
        <w:rPr>
          <w:rFonts w:ascii="等线" w:hAnsi="等线" w:eastAsia="等线"/>
          <w:b w:val="0"/>
          <w:i w:val="0"/>
          <w:color w:val="000000"/>
          <w:sz w:val="21"/>
        </w:rPr>
        <w:t>本报告支持选域和预算判断，但不支持看似精确的应届生工资中位数。核心区共核验到6条2027届本科相邻岗位，来自3家企业；中芯国际占4条、66.7%。6条均未公开薪资，也没有一条同时明确双休和不出差。</w:t>
      </w:r>
    </w:p>
    <w:p>
      <w:pPr>
        <w:spacing w:after="100" w:line="300" w:lineRule="auto"/>
      </w:pPr>
      <w:r>
        <w:rPr>
          <w:rFonts w:ascii="等线" w:hAnsi="等线" w:eastAsia="等线"/>
          <w:b w:val="0"/>
          <w:i w:val="0"/>
          <w:color w:val="000000"/>
          <w:sz w:val="21"/>
        </w:rPr>
        <w:t>按先前口径，双休与不出差作为硬条件单列；现场调试和工程实施可接受。若双休或不出差必须由招聘页面直接证明，当前合格样本为0条。若这些条件允许在面试或offer阶段核实，岗位供给仍可作为持续投递池，但不能据此宣称已经满足条件。</w:t>
      </w:r>
    </w:p>
    <w:p>
      <w:pPr>
        <w:spacing w:after="100" w:line="300" w:lineRule="auto"/>
      </w:pPr>
      <w:r>
        <w:rPr>
          <w:rFonts w:ascii="等线" w:hAnsi="等线" w:eastAsia="等线"/>
          <w:b w:val="0"/>
          <w:i w:val="0"/>
          <w:color w:val="000000"/>
          <w:sz w:val="21"/>
        </w:rPr>
        <w:t>现金测算采用8,000、10,000、12,000和15,000元税前固定月薪，属于压力测试而非观测值。主情景按2026年上海社保基数、10.5%个人社保、7%个人公积金、6万元年度基本减除和1,500元住房租金专项扣除计算。</w:t>
      </w:r>
    </w:p>
    <w:p>
      <w:pPr>
        <w:keepNext/>
        <w:spacing w:before="120" w:after="80"/>
      </w:pPr>
      <w:r>
        <w:rPr>
          <w:rFonts w:ascii="等线" w:hAnsi="等线" w:eastAsia="等线"/>
          <w:b/>
          <w:i w:val="0"/>
          <w:color w:val="4C4C4C"/>
          <w:sz w:val="18"/>
        </w:rPr>
        <w:t>表 1  核心样本与硬条件计数</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rPr>
          <w:tblHeader w:val="true"/>
          <w:cantSplit/>
        </w:trPr>
        <w:tc>
          <w:tcPr>
            <w:tcW w:type="dxa" w:w="273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7"/>
              </w:rPr>
              <w:t>指标</w:t>
            </w:r>
          </w:p>
        </w:tc>
        <w:tc>
          <w:tcPr>
            <w:tcW w:type="dxa" w:w="201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7"/>
              </w:rPr>
              <w:t>结果</w:t>
            </w:r>
          </w:p>
        </w:tc>
        <w:tc>
          <w:tcPr>
            <w:tcW w:type="dxa" w:w="489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7"/>
              </w:rPr>
              <w:t>直接含义</w:t>
            </w:r>
          </w:p>
        </w:tc>
      </w:tr>
      <w:tr>
        <w:trPr>
          <w:cantSplit/>
        </w:trPr>
        <w:tc>
          <w:tcPr>
            <w:tcW w:type="dxa" w:w="273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2027本科相邻岗位</w:t>
            </w:r>
          </w:p>
        </w:tc>
        <w:tc>
          <w:tcPr>
            <w:tcW w:type="dxa" w:w="2016"/>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7"/>
              </w:rPr>
              <w:t>6 条 / 3 家企业</w:t>
            </w:r>
          </w:p>
        </w:tc>
        <w:tc>
          <w:tcPr>
            <w:tcW w:type="dxa" w:w="489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样本小于30条，仅作观察，不能做强排名</w:t>
            </w:r>
          </w:p>
        </w:tc>
      </w:tr>
      <w:tr>
        <w:trPr>
          <w:cantSplit/>
        </w:trPr>
        <w:tc>
          <w:tcPr>
            <w:tcW w:type="dxa" w:w="273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公开薪资岗位</w:t>
            </w:r>
          </w:p>
        </w:tc>
        <w:tc>
          <w:tcPr>
            <w:tcW w:type="dxa" w:w="2016"/>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7"/>
              </w:rPr>
              <w:t>0 条</w:t>
            </w:r>
          </w:p>
        </w:tc>
        <w:tc>
          <w:tcPr>
            <w:tcW w:type="dxa" w:w="489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无法计算2027目标岗广告薪资中位数或四分位</w:t>
            </w:r>
          </w:p>
        </w:tc>
      </w:tr>
      <w:tr>
        <w:trPr>
          <w:cantSplit/>
        </w:trPr>
        <w:tc>
          <w:tcPr>
            <w:tcW w:type="dxa" w:w="273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明确双休</w:t>
            </w:r>
          </w:p>
        </w:tc>
        <w:tc>
          <w:tcPr>
            <w:tcW w:type="dxa" w:w="2016"/>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7"/>
              </w:rPr>
              <w:t>0 条</w:t>
            </w:r>
          </w:p>
        </w:tc>
        <w:tc>
          <w:tcPr>
            <w:tcW w:type="dxa" w:w="489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未标注不等于无双休，但也不能当作满足硬条件</w:t>
            </w:r>
          </w:p>
        </w:tc>
      </w:tr>
      <w:tr>
        <w:trPr>
          <w:cantSplit/>
        </w:trPr>
        <w:tc>
          <w:tcPr>
            <w:tcW w:type="dxa" w:w="273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明确不出差</w:t>
            </w:r>
          </w:p>
        </w:tc>
        <w:tc>
          <w:tcPr>
            <w:tcW w:type="dxa" w:w="2016"/>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7"/>
              </w:rPr>
              <w:t>0 条</w:t>
            </w:r>
          </w:p>
        </w:tc>
        <w:tc>
          <w:tcPr>
            <w:tcW w:type="dxa" w:w="489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未标注不等于必须出差，同样需要面试核验</w:t>
            </w:r>
          </w:p>
        </w:tc>
      </w:tr>
      <w:tr>
        <w:trPr>
          <w:cantSplit/>
        </w:trPr>
        <w:tc>
          <w:tcPr>
            <w:tcW w:type="dxa" w:w="273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薪资+双休+不出差同时明确</w:t>
            </w:r>
          </w:p>
        </w:tc>
        <w:tc>
          <w:tcPr>
            <w:tcW w:type="dxa" w:w="2016"/>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7"/>
              </w:rPr>
              <w:t>0 条</w:t>
            </w:r>
          </w:p>
        </w:tc>
        <w:tc>
          <w:tcPr>
            <w:tcW w:type="dxa" w:w="489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当前无法宣称任何岗位已通过硬筛选</w:t>
            </w:r>
          </w:p>
        </w:tc>
      </w:tr>
      <w:tr>
        <w:trPr>
          <w:cantSplit/>
        </w:trPr>
        <w:tc>
          <w:tcPr>
            <w:tcW w:type="dxa" w:w="273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最大企业占比</w:t>
            </w:r>
          </w:p>
        </w:tc>
        <w:tc>
          <w:tcPr>
            <w:tcW w:type="dxa" w:w="2016"/>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7"/>
              </w:rPr>
              <w:t>66.7%</w:t>
            </w:r>
          </w:p>
        </w:tc>
        <w:tc>
          <w:tcPr>
            <w:tcW w:type="dxa" w:w="489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中芯国际4条，企业集中度高</w:t>
            </w:r>
          </w:p>
        </w:tc>
      </w:tr>
    </w:tbl>
    <w:p>
      <w:pPr>
        <w:spacing w:after="0"/>
      </w:pPr>
    </w:p>
    <w:p>
      <w:pPr>
        <w:keepNext/>
        <w:spacing w:before="120" w:after="80"/>
      </w:pPr>
      <w:r>
        <w:rPr>
          <w:rFonts w:ascii="等线" w:hAnsi="等线" w:eastAsia="等线"/>
          <w:b/>
          <w:i w:val="0"/>
          <w:color w:val="4C4C4C"/>
          <w:sz w:val="18"/>
        </w:rPr>
        <w:t>表 2  2027届固定月税前薪资压力测试</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80"/>
        <w:gridCol w:w="1680"/>
        <w:gridCol w:w="1680"/>
        <w:gridCol w:w="1680"/>
        <w:gridCol w:w="1680"/>
        <w:gridCol w:w="1680"/>
      </w:tblGrid>
      <w:tr>
        <w:trPr>
          <w:tblHeader w:val="true"/>
          <w:cantSplit/>
        </w:trPr>
        <w:tc>
          <w:tcPr>
            <w:tcW w:type="dxa" w:w="165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税前月薪</w:t>
            </w:r>
          </w:p>
        </w:tc>
        <w:tc>
          <w:tcPr>
            <w:tcW w:type="dxa" w:w="1944"/>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月均到手现金</w:t>
            </w:r>
          </w:p>
        </w:tc>
        <w:tc>
          <w:tcPr>
            <w:tcW w:type="dxa" w:w="1944"/>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合租直租净结余</w:t>
            </w:r>
          </w:p>
        </w:tc>
        <w:tc>
          <w:tcPr>
            <w:tcW w:type="dxa" w:w="1944"/>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整租直租净结余</w:t>
            </w:r>
          </w:p>
        </w:tc>
        <w:tc>
          <w:tcPr>
            <w:tcW w:type="dxa" w:w="1224"/>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合租房租/税前</w:t>
            </w:r>
          </w:p>
        </w:tc>
        <w:tc>
          <w:tcPr>
            <w:tcW w:type="dxa" w:w="1224"/>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整租房租/税前</w:t>
            </w:r>
          </w:p>
        </w:tc>
      </w:tr>
      <w:tr>
        <w:trPr>
          <w:cantSplit/>
        </w:trPr>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8,000 元</w:t>
            </w:r>
          </w:p>
        </w:tc>
        <w:tc>
          <w:tcPr>
            <w:tcW w:type="dxa" w:w="1944"/>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6,597.0 元</w:t>
            </w:r>
          </w:p>
        </w:tc>
        <w:tc>
          <w:tcPr>
            <w:tcW w:type="dxa" w:w="1944"/>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2,691.1 元</w:t>
            </w:r>
          </w:p>
        </w:tc>
        <w:tc>
          <w:tcPr>
            <w:tcW w:type="dxa" w:w="1944"/>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1,628.8 元</w:t>
            </w:r>
          </w:p>
        </w:tc>
        <w:tc>
          <w:tcPr>
            <w:tcW w:type="dxa" w:w="1224"/>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15.0%</w:t>
            </w:r>
          </w:p>
        </w:tc>
        <w:tc>
          <w:tcPr>
            <w:tcW w:type="dxa" w:w="1224"/>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27.5%</w:t>
            </w:r>
          </w:p>
        </w:tc>
      </w:tr>
      <w:tr>
        <w:trPr>
          <w:cantSplit/>
        </w:trPr>
        <w:tc>
          <w:tcPr>
            <w:tcW w:type="dxa" w:w="165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10,000 元</w:t>
            </w:r>
          </w:p>
        </w:tc>
        <w:tc>
          <w:tcPr>
            <w:tcW w:type="dxa" w:w="1944"/>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8,197.5 元</w:t>
            </w:r>
          </w:p>
        </w:tc>
        <w:tc>
          <w:tcPr>
            <w:tcW w:type="dxa" w:w="1944"/>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4,291.6 元</w:t>
            </w:r>
          </w:p>
        </w:tc>
        <w:tc>
          <w:tcPr>
            <w:tcW w:type="dxa" w:w="1944"/>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3,229.3 元</w:t>
            </w:r>
          </w:p>
        </w:tc>
        <w:tc>
          <w:tcPr>
            <w:tcW w:type="dxa" w:w="1224"/>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12.0%</w:t>
            </w:r>
          </w:p>
        </w:tc>
        <w:tc>
          <w:tcPr>
            <w:tcW w:type="dxa" w:w="1224"/>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22.0%</w:t>
            </w:r>
          </w:p>
        </w:tc>
      </w:tr>
      <w:tr>
        <w:trPr>
          <w:cantSplit/>
        </w:trPr>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12,000 元</w:t>
            </w:r>
          </w:p>
        </w:tc>
        <w:tc>
          <w:tcPr>
            <w:tcW w:type="dxa" w:w="1944"/>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9,770.0 元</w:t>
            </w:r>
          </w:p>
        </w:tc>
        <w:tc>
          <w:tcPr>
            <w:tcW w:type="dxa" w:w="1944"/>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5,864.1 元</w:t>
            </w:r>
          </w:p>
        </w:tc>
        <w:tc>
          <w:tcPr>
            <w:tcW w:type="dxa" w:w="1944"/>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4,801.8 元</w:t>
            </w:r>
          </w:p>
        </w:tc>
        <w:tc>
          <w:tcPr>
            <w:tcW w:type="dxa" w:w="1224"/>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10.0%</w:t>
            </w:r>
          </w:p>
        </w:tc>
        <w:tc>
          <w:tcPr>
            <w:tcW w:type="dxa" w:w="1224"/>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18.3%</w:t>
            </w:r>
          </w:p>
        </w:tc>
      </w:tr>
      <w:tr>
        <w:trPr>
          <w:cantSplit/>
        </w:trPr>
        <w:tc>
          <w:tcPr>
            <w:tcW w:type="dxa" w:w="165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15,000 元</w:t>
            </w:r>
          </w:p>
        </w:tc>
        <w:tc>
          <w:tcPr>
            <w:tcW w:type="dxa" w:w="1944"/>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11,997.5 元</w:t>
            </w:r>
          </w:p>
        </w:tc>
        <w:tc>
          <w:tcPr>
            <w:tcW w:type="dxa" w:w="1944"/>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8,091.6 元</w:t>
            </w:r>
          </w:p>
        </w:tc>
        <w:tc>
          <w:tcPr>
            <w:tcW w:type="dxa" w:w="1944"/>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7,029.3 元</w:t>
            </w:r>
          </w:p>
        </w:tc>
        <w:tc>
          <w:tcPr>
            <w:tcW w:type="dxa" w:w="1224"/>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8.0%</w:t>
            </w:r>
          </w:p>
        </w:tc>
        <w:tc>
          <w:tcPr>
            <w:tcW w:type="dxa" w:w="1224"/>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14.7%</w:t>
            </w:r>
          </w:p>
        </w:tc>
      </w:tr>
    </w:tbl>
    <w:p>
      <w:pPr>
        <w:spacing w:after="0"/>
      </w:pPr>
    </w:p>
    <w:p>
      <w:pPr>
        <w:spacing w:after="100" w:line="300" w:lineRule="auto"/>
      </w:pPr>
      <w:r>
        <w:rPr>
          <w:rFonts w:ascii="等线" w:hAnsi="等线" w:eastAsia="等线"/>
          <w:b w:val="0"/>
          <w:i w:val="0"/>
          <w:color w:val="000000"/>
          <w:sz w:val="21"/>
        </w:rPr>
        <w:t>Word、Excel和交互页统一采用10,000元、12薪、合租中介押一付三、月租1,300元的现金压力测试作为默认情景。扣税社保和公积金后月均现金收入为8,197.5元；月度纯现金净结余为4,153.7元，含个人公积金为4,853.7元；首月最低现金8,360.9元，加2,000元应急缓冲后建议储备10,360.9元。房租占税前工资13.0%。</w:t>
      </w:r>
    </w:p>
    <w:p>
      <w:pPr>
        <w:pStyle w:val="ListBullet"/>
        <w:spacing w:after="40" w:line="276" w:lineRule="auto"/>
        <w:ind w:left="360" w:hanging="173"/>
      </w:pPr>
      <w:r>
        <w:rPr>
          <w:rFonts w:ascii="等线" w:hAnsi="等线" w:eastAsia="等线"/>
          <w:b w:val="0"/>
          <w:i w:val="0"/>
          <w:color w:val="000000"/>
          <w:sz w:val="20"/>
        </w:rPr>
        <w:t>成本优先的可执行线：若改为合租直租、月租约1,200元，10,000元税前收入的月纯现金结余约4,291.6元；首月最低现金约5,105.9元，建议储备7,105.9元。</w:t>
      </w:r>
    </w:p>
    <w:p>
      <w:pPr>
        <w:pStyle w:val="ListBullet"/>
        <w:spacing w:after="40" w:line="276" w:lineRule="auto"/>
        <w:ind w:left="360" w:hanging="173"/>
      </w:pPr>
      <w:r>
        <w:rPr>
          <w:rFonts w:ascii="等线" w:hAnsi="等线" w:eastAsia="等线"/>
          <w:b w:val="0"/>
          <w:i w:val="0"/>
          <w:color w:val="000000"/>
          <w:sz w:val="20"/>
        </w:rPr>
        <w:t>风险边界：独立整租直租2,200元时，月纯现金结余降至3,229.3元；不能仅凭月度净结余判断，还要同时预留押付和签约渠道费。</w:t>
      </w:r>
    </w:p>
    <w:p>
      <w:pPr>
        <w:pStyle w:val="ListBullet"/>
        <w:spacing w:after="40" w:line="276" w:lineRule="auto"/>
        <w:ind w:left="360" w:hanging="173"/>
      </w:pPr>
      <w:r>
        <w:rPr>
          <w:rFonts w:ascii="等线" w:hAnsi="等线" w:eastAsia="等线"/>
          <w:b w:val="0"/>
          <w:i w:val="0"/>
          <w:color w:val="000000"/>
          <w:sz w:val="20"/>
        </w:rPr>
        <w:t>硬条件线：在没有书面offer或招聘页面明确确认前，不把任何当前岗位视为“双休且不出差”的合格岗位。</w:t>
      </w:r>
    </w:p>
    <w:p>
      <w:pPr>
        <w:pStyle w:val="Heading1"/>
        <w:keepNext/>
      </w:pPr>
      <w:r>
        <w:rPr>
          <w:rFonts w:ascii="等线" w:hAnsi="等线" w:eastAsia="等线"/>
          <w:b/>
          <w:i w:val="0"/>
          <w:color w:val="000000"/>
          <w:sz w:val="36"/>
        </w:rPr>
        <w:t>二 研究范围与用户约束</w:t>
      </w:r>
    </w:p>
    <w:p>
      <w:pPr>
        <w:spacing w:after="100" w:line="300" w:lineRule="auto"/>
      </w:pPr>
      <w:r>
        <w:rPr>
          <w:rFonts w:ascii="等线" w:hAnsi="等线" w:eastAsia="等线"/>
          <w:b w:val="0"/>
          <w:i w:val="0"/>
          <w:color w:val="000000"/>
          <w:sz w:val="21"/>
        </w:rPr>
        <w:t>决策问题是：2027届电气工程及其自动化本科应届生在临港核心区，面对尚未公开的目标岗薪资，需要怎样的税前工资、租房方式和现金储备，才能获得可持续的月净结余和首月承受能力？</w:t>
      </w:r>
    </w:p>
    <w:p>
      <w:pPr>
        <w:spacing w:after="100" w:line="300" w:lineRule="auto"/>
      </w:pPr>
      <w:r>
        <w:rPr>
          <w:rFonts w:ascii="等线" w:hAnsi="等线" w:eastAsia="等线"/>
          <w:b w:val="0"/>
          <w:i w:val="0"/>
          <w:color w:val="000000"/>
          <w:sz w:val="21"/>
        </w:rPr>
        <w:t>“临港心片区”不是公开的标准行政名称。本报告按“临港新片区，重点滴水湖与南汇新城核心区”操作。泥城、书院等更广范围单独标注；积塔半导体云水路厂区因位于泥城镇且无法证明属于滴水湖核心区，只作为范围外观察，不进入6条核心岗位计数。</w:t>
      </w:r>
    </w:p>
    <w:p>
      <w:pPr>
        <w:spacing w:after="100" w:line="300" w:lineRule="auto"/>
      </w:pPr>
      <w:r>
        <w:rPr>
          <w:rFonts w:ascii="等线" w:hAnsi="等线" w:eastAsia="等线"/>
          <w:b w:val="0"/>
          <w:i w:val="0"/>
          <w:color w:val="000000"/>
          <w:sz w:val="21"/>
        </w:rPr>
        <w:t>本报告把双休、出差、住宿、现场调试和工程实施分开记录。页面写“未知”时保留为未知：不能推断为双休，也不能推断为必须出差。薪资只把广告中的固定月薪或可识别月区间用于市场观察；“面议”和未列薪资留空。</w:t>
      </w:r>
    </w:p>
    <w:p>
      <w:pPr>
        <w:pStyle w:val="Heading1"/>
        <w:keepNext/>
      </w:pPr>
      <w:r>
        <w:rPr>
          <w:rFonts w:ascii="等线" w:hAnsi="等线" w:eastAsia="等线"/>
          <w:b/>
          <w:i w:val="0"/>
          <w:color w:val="000000"/>
          <w:sz w:val="36"/>
        </w:rPr>
        <w:t>三 数据质量与计算口径</w:t>
      </w:r>
    </w:p>
    <w:p>
      <w:pPr>
        <w:spacing w:after="100" w:line="300" w:lineRule="auto"/>
      </w:pPr>
      <w:r>
        <w:rPr>
          <w:rFonts w:ascii="等线" w:hAnsi="等线" w:eastAsia="等线"/>
          <w:b w:val="0"/>
          <w:i w:val="0"/>
          <w:color w:val="000000"/>
          <w:sz w:val="21"/>
        </w:rPr>
        <w:t>证据分级按数字对本问题的可信度，而不是按网站名气。官方社保、税务和公用事业价格规则为A级；有原始页面和采集日期的大样本招聘或租房平台可到B级；少于30条岗位、少于10条租房、单一企业主导或模型估算为C级；单条个人晒薪和无法回溯的转述仅作D级线索。</w:t>
      </w:r>
    </w:p>
    <w:p>
      <w:pPr>
        <w:keepNext/>
        <w:spacing w:before="120" w:after="80"/>
      </w:pPr>
      <w:r>
        <w:rPr>
          <w:rFonts w:ascii="等线" w:hAnsi="等线" w:eastAsia="等线"/>
          <w:b/>
          <w:i w:val="0"/>
          <w:color w:val="4C4C4C"/>
          <w:sz w:val="18"/>
        </w:rPr>
        <w:t>表 3  本报告证据使用规则</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rPr>
          <w:tblHeader w:val="true"/>
          <w:cantSplit/>
        </w:trPr>
        <w:tc>
          <w:tcPr>
            <w:tcW w:type="dxa" w:w="79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7"/>
              </w:rPr>
              <w:t>等级</w:t>
            </w:r>
          </w:p>
        </w:tc>
        <w:tc>
          <w:tcPr>
            <w:tcW w:type="dxa" w:w="381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7"/>
              </w:rPr>
              <w:t>本报告中的用途</w:t>
            </w:r>
          </w:p>
        </w:tc>
        <w:tc>
          <w:tcPr>
            <w:tcW w:type="dxa" w:w="511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7"/>
              </w:rPr>
              <w:t>本轮实际覆盖</w:t>
            </w:r>
          </w:p>
        </w:tc>
      </w:tr>
      <w:tr>
        <w:trPr>
          <w:cantSplit/>
        </w:trPr>
        <w:tc>
          <w:tcPr>
            <w:tcW w:type="dxa" w:w="79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7"/>
              </w:rPr>
              <w:t>A</w:t>
            </w:r>
          </w:p>
        </w:tc>
        <w:tc>
          <w:tcPr>
            <w:tcW w:type="dxa" w:w="381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制度价格、税费社保、官方住房项目规则</w:t>
            </w:r>
          </w:p>
        </w:tc>
        <w:tc>
          <w:tcPr>
            <w:tcW w:type="dxa" w:w="511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社保、公积金、个税、水电气、交通票价、人才公寓条件</w:t>
            </w:r>
          </w:p>
        </w:tc>
      </w:tr>
      <w:tr>
        <w:trPr>
          <w:cantSplit/>
        </w:trPr>
        <w:tc>
          <w:tcPr>
            <w:tcW w:type="dxa" w:w="79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7"/>
              </w:rPr>
              <w:t>B</w:t>
            </w:r>
          </w:p>
        </w:tc>
        <w:tc>
          <w:tcPr>
            <w:tcW w:type="dxa" w:w="381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足够大的平台招聘或租房样本</w:t>
            </w:r>
          </w:p>
        </w:tc>
        <w:tc>
          <w:tcPr>
            <w:tcW w:type="dxa" w:w="511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未取得可直接进入主模型的B级大样本</w:t>
            </w:r>
          </w:p>
        </w:tc>
      </w:tr>
      <w:tr>
        <w:trPr>
          <w:cantSplit/>
        </w:trPr>
        <w:tc>
          <w:tcPr>
            <w:tcW w:type="dxa" w:w="79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7"/>
              </w:rPr>
              <w:t>C</w:t>
            </w:r>
          </w:p>
        </w:tc>
        <w:tc>
          <w:tcPr>
            <w:tcW w:type="dxa" w:w="381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小样本岗位、挂牌价、市场观察、模型估算</w:t>
            </w:r>
          </w:p>
        </w:tc>
        <w:tc>
          <w:tcPr>
            <w:tcW w:type="dxa" w:w="511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6条核心岗位、单条或少量历史租赁挂牌、生活成本篮子</w:t>
            </w:r>
          </w:p>
        </w:tc>
      </w:tr>
      <w:tr>
        <w:trPr>
          <w:cantSplit/>
        </w:trPr>
        <w:tc>
          <w:tcPr>
            <w:tcW w:type="dxa" w:w="79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7"/>
              </w:rPr>
              <w:t>D</w:t>
            </w:r>
          </w:p>
        </w:tc>
        <w:tc>
          <w:tcPr>
            <w:tcW w:type="dxa" w:w="381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失败采集记录或无法回溯的线索</w:t>
            </w:r>
          </w:p>
        </w:tc>
        <w:tc>
          <w:tcPr>
            <w:tcW w:type="dxa" w:w="511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7"/>
              </w:rPr>
              <w:t>BOSS登录态失效记录；不用于任何薪资或成本主值</w:t>
            </w:r>
          </w:p>
        </w:tc>
      </w:tr>
    </w:tbl>
    <w:p>
      <w:pPr>
        <w:spacing w:after="0"/>
      </w:pPr>
    </w:p>
    <w:p>
      <w:pPr>
        <w:spacing w:after="100" w:line="300" w:lineRule="auto"/>
      </w:pPr>
      <w:r>
        <w:rPr>
          <w:rFonts w:ascii="等线" w:hAnsi="等线" w:eastAsia="等线"/>
          <w:b w:val="0"/>
          <w:i w:val="0"/>
          <w:color w:val="000000"/>
          <w:sz w:val="21"/>
        </w:rPr>
        <w:t>月税后现金按年度综合所得近似：年度税前收入减去全年个人社保、全年个人公积金、60,000元基本减除和18,000元住房租金专项扣除，再套用居民综合所得七级超额累进税率，最后除以12。社保缴费基数按固定税前月薪并受2026年上下限约束；13薪或16薪只增加年度税前收入，社保和公积金仍按12个月固定月薪计缴。</w:t>
      </w:r>
    </w:p>
    <w:p>
      <w:pPr>
        <w:spacing w:after="100" w:line="300" w:lineRule="auto"/>
      </w:pPr>
      <w:r>
        <w:rPr>
          <w:rFonts w:ascii="等线" w:hAnsi="等线" w:eastAsia="等线"/>
          <w:b w:val="0"/>
          <w:i w:val="0"/>
          <w:color w:val="000000"/>
          <w:sz w:val="21"/>
        </w:rPr>
        <w:t>月度现金净结余等于月均到手现金，减房租、中介费按12个月摊销、月度服务费、水电气网、餐饮、通勤和其他固定支出。含公积金净结余再加回个人公积金月缴额。首月最低现金等于押金、预付租金、租客承担中介费和一次性服务费，再加首月水电燃气网、月度服务费、餐饮、通勤和其他固定支出。</w:t>
      </w:r>
    </w:p>
    <w:p>
      <w:pPr>
        <w:pStyle w:val="Heading1"/>
        <w:keepNext/>
      </w:pPr>
      <w:r>
        <w:rPr>
          <w:rFonts w:ascii="等线" w:hAnsi="等线" w:eastAsia="等线"/>
          <w:b/>
          <w:i w:val="0"/>
          <w:color w:val="000000"/>
          <w:sz w:val="36"/>
        </w:rPr>
        <w:t>四 岗位供给、薪资与工作条件</w:t>
      </w:r>
    </w:p>
    <w:p>
      <w:pPr>
        <w:spacing w:after="100" w:line="300" w:lineRule="auto"/>
      </w:pPr>
      <w:r>
        <w:rPr>
          <w:rFonts w:ascii="等线" w:hAnsi="等线" w:eastAsia="等线"/>
          <w:b w:val="0"/>
          <w:i w:val="0"/>
          <w:color w:val="000000"/>
          <w:sz w:val="21"/>
        </w:rPr>
        <w:t>核心样本只有6条。四家中芯国际岗位覆盖设备、封装设备和自动化算法；另外两条分别来自艾为和延锋彼欧。艾为页面写“电子工程相关”，延锋写“机械、电气自动化等优先”，因此两条都需要在投递或面试时确认电气工程及其自动化专业的正式可投性。</w:t>
      </w:r>
    </w:p>
    <w:p>
      <w:pPr>
        <w:keepNext/>
        <w:spacing w:before="120" w:after="80"/>
      </w:pPr>
      <w:r>
        <w:rPr>
          <w:rFonts w:ascii="等线" w:hAnsi="等线" w:eastAsia="等线"/>
          <w:b/>
          <w:i w:val="0"/>
          <w:color w:val="4C4C4C"/>
          <w:sz w:val="18"/>
        </w:rPr>
        <w:t>表 4  2027届本科相邻岗位与工作条件</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16"/>
        <w:gridCol w:w="2016"/>
        <w:gridCol w:w="2016"/>
        <w:gridCol w:w="2016"/>
        <w:gridCol w:w="2016"/>
      </w:tblGrid>
      <w:tr>
        <w:trPr>
          <w:tblHeader w:val="true"/>
          <w:cantSplit/>
        </w:trPr>
        <w:tc>
          <w:tcPr>
            <w:tcW w:type="dxa" w:w="1440"/>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企业</w:t>
            </w:r>
          </w:p>
        </w:tc>
        <w:tc>
          <w:tcPr>
            <w:tcW w:type="dxa" w:w="2088"/>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岗位</w:t>
            </w:r>
          </w:p>
        </w:tc>
        <w:tc>
          <w:tcPr>
            <w:tcW w:type="dxa" w:w="165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学历 / 届别</w:t>
            </w:r>
          </w:p>
        </w:tc>
        <w:tc>
          <w:tcPr>
            <w:tcW w:type="dxa" w:w="4464"/>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页面可证工作条件</w:t>
            </w:r>
          </w:p>
        </w:tc>
        <w:tc>
          <w:tcPr>
            <w:tcW w:type="dxa" w:w="79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薪资</w:t>
            </w:r>
          </w:p>
        </w:tc>
      </w:tr>
      <w:tr>
        <w:trPr>
          <w:cantSplit/>
        </w:trPr>
        <w:tc>
          <w:tcPr>
            <w:tcW w:type="dxa" w:w="144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中芯国际</w:t>
            </w:r>
          </w:p>
        </w:tc>
        <w:tc>
          <w:tcPr>
            <w:tcW w:type="dxa" w:w="208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设备工程师</w:t>
            </w:r>
          </w:p>
        </w:tc>
        <w:tc>
          <w:tcPr>
            <w:tcW w:type="dxa" w:w="165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本科 / 应届</w:t>
            </w:r>
          </w:p>
        </w:tc>
        <w:tc>
          <w:tcPr>
            <w:tcW w:type="dxa" w:w="446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安装调试、保养、故障排查；双休、出差、住宿未写</w:t>
            </w:r>
          </w:p>
        </w:tc>
        <w:tc>
          <w:tcPr>
            <w:tcW w:type="dxa" w:w="79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面议</w:t>
            </w:r>
          </w:p>
        </w:tc>
      </w:tr>
      <w:tr>
        <w:trPr>
          <w:cantSplit/>
        </w:trPr>
        <w:tc>
          <w:tcPr>
            <w:tcW w:type="dxa" w:w="144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中芯国际</w:t>
            </w:r>
          </w:p>
        </w:tc>
        <w:tc>
          <w:tcPr>
            <w:tcW w:type="dxa" w:w="208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封装设备工程师</w:t>
            </w:r>
          </w:p>
        </w:tc>
        <w:tc>
          <w:tcPr>
            <w:tcW w:type="dxa" w:w="165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本科 / 应届</w:t>
            </w:r>
          </w:p>
        </w:tc>
        <w:tc>
          <w:tcPr>
            <w:tcW w:type="dxa" w:w="4464"/>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点检、参数校准、故障分析；关键条件未写</w:t>
            </w:r>
          </w:p>
        </w:tc>
        <w:tc>
          <w:tcPr>
            <w:tcW w:type="dxa" w:w="79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面议</w:t>
            </w:r>
          </w:p>
        </w:tc>
      </w:tr>
      <w:tr>
        <w:trPr>
          <w:cantSplit/>
        </w:trPr>
        <w:tc>
          <w:tcPr>
            <w:tcW w:type="dxa" w:w="144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中芯国际</w:t>
            </w:r>
          </w:p>
        </w:tc>
        <w:tc>
          <w:tcPr>
            <w:tcW w:type="dxa" w:w="208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自动化算法工程师</w:t>
            </w:r>
          </w:p>
        </w:tc>
        <w:tc>
          <w:tcPr>
            <w:tcW w:type="dxa" w:w="165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本科 / 应届</w:t>
            </w:r>
          </w:p>
        </w:tc>
        <w:tc>
          <w:tcPr>
            <w:tcW w:type="dxa" w:w="446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制造系统、实时派货和数据优化；出差未写</w:t>
            </w:r>
          </w:p>
        </w:tc>
        <w:tc>
          <w:tcPr>
            <w:tcW w:type="dxa" w:w="79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面议</w:t>
            </w:r>
          </w:p>
        </w:tc>
      </w:tr>
      <w:tr>
        <w:trPr>
          <w:cantSplit/>
        </w:trPr>
        <w:tc>
          <w:tcPr>
            <w:tcW w:type="dxa" w:w="144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中芯国际</w:t>
            </w:r>
          </w:p>
        </w:tc>
        <w:tc>
          <w:tcPr>
            <w:tcW w:type="dxa" w:w="208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封装生产运筹工程师</w:t>
            </w:r>
          </w:p>
        </w:tc>
        <w:tc>
          <w:tcPr>
            <w:tcW w:type="dxa" w:w="165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本科或硕士 / 应届</w:t>
            </w:r>
          </w:p>
        </w:tc>
        <w:tc>
          <w:tcPr>
            <w:tcW w:type="dxa" w:w="4464"/>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明确白班、夜班和轮班，洁净室；不符合双休</w:t>
            </w:r>
          </w:p>
        </w:tc>
        <w:tc>
          <w:tcPr>
            <w:tcW w:type="dxa" w:w="79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面议</w:t>
            </w:r>
          </w:p>
        </w:tc>
      </w:tr>
      <w:tr>
        <w:trPr>
          <w:cantSplit/>
        </w:trPr>
        <w:tc>
          <w:tcPr>
            <w:tcW w:type="dxa" w:w="144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艾为电子</w:t>
            </w:r>
          </w:p>
        </w:tc>
        <w:tc>
          <w:tcPr>
            <w:tcW w:type="dxa" w:w="208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设备工程师</w:t>
            </w:r>
          </w:p>
        </w:tc>
        <w:tc>
          <w:tcPr>
            <w:tcW w:type="dxa" w:w="165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本科及以上 / 2027</w:t>
            </w:r>
          </w:p>
        </w:tc>
        <w:tc>
          <w:tcPr>
            <w:tcW w:type="dxa" w:w="446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设备改机、测试异常和硬件改造；专业可投性需确认</w:t>
            </w:r>
          </w:p>
        </w:tc>
        <w:tc>
          <w:tcPr>
            <w:tcW w:type="dxa" w:w="79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未列</w:t>
            </w:r>
          </w:p>
        </w:tc>
      </w:tr>
      <w:tr>
        <w:trPr>
          <w:cantSplit/>
        </w:trPr>
        <w:tc>
          <w:tcPr>
            <w:tcW w:type="dxa" w:w="144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延锋彼欧</w:t>
            </w:r>
          </w:p>
        </w:tc>
        <w:tc>
          <w:tcPr>
            <w:tcW w:type="dxa" w:w="208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工程设备方向</w:t>
            </w:r>
          </w:p>
        </w:tc>
        <w:tc>
          <w:tcPr>
            <w:tcW w:type="dxa" w:w="165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本科及以上 / 2027</w:t>
            </w:r>
          </w:p>
        </w:tc>
        <w:tc>
          <w:tcPr>
            <w:tcW w:type="dxa" w:w="4464"/>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设备安装、改造、TPM和现场问题处理；出差未写</w:t>
            </w:r>
          </w:p>
        </w:tc>
        <w:tc>
          <w:tcPr>
            <w:tcW w:type="dxa" w:w="79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未列</w:t>
            </w:r>
          </w:p>
        </w:tc>
      </w:tr>
    </w:tbl>
    <w:p>
      <w:pPr>
        <w:spacing w:after="0"/>
      </w:pPr>
    </w:p>
    <w:p>
      <w:pPr>
        <w:spacing w:after="100" w:line="300" w:lineRule="auto"/>
      </w:pPr>
      <w:r>
        <w:rPr>
          <w:rFonts w:ascii="等线" w:hAnsi="等线" w:eastAsia="等线"/>
          <w:b w:val="0"/>
          <w:i w:val="0"/>
          <w:color w:val="000000"/>
          <w:sz w:val="21"/>
        </w:rPr>
        <w:t>这6条记录全部为C级小样本。没有一条公开可计算的月薪，也没有一条同时明确双休和不出差。生产运筹岗位明确存在轮班，因此即使薪资后续公开，也不能进入双休硬筛选。其余岗位的未知项必须在HR初筛和部门面试中逐条确认。</w:t>
      </w:r>
    </w:p>
    <w:p>
      <w:pPr>
        <w:keepNext/>
        <w:spacing w:before="120" w:after="80"/>
      </w:pPr>
      <w:r>
        <w:rPr>
          <w:rFonts w:ascii="等线" w:hAnsi="等线" w:eastAsia="等线"/>
          <w:b/>
          <w:i w:val="0"/>
          <w:color w:val="4C4C4C"/>
          <w:sz w:val="18"/>
        </w:rPr>
        <w:t>表 5  排除的相邻岗位市场锚点（仅作外部观察）</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rPr>
          <w:tblHeader w:val="true"/>
          <w:cantSplit/>
        </w:trPr>
        <w:tc>
          <w:tcPr>
            <w:tcW w:type="dxa" w:w="2520"/>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岗位</w:t>
            </w:r>
          </w:p>
        </w:tc>
        <w:tc>
          <w:tcPr>
            <w:tcW w:type="dxa" w:w="151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广告薪资</w:t>
            </w:r>
          </w:p>
        </w:tc>
        <w:tc>
          <w:tcPr>
            <w:tcW w:type="dxa" w:w="1440"/>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年化区间中点</w:t>
            </w:r>
          </w:p>
        </w:tc>
        <w:tc>
          <w:tcPr>
            <w:tcW w:type="dxa" w:w="4464"/>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为何不能当2027本科应届工资</w:t>
            </w:r>
          </w:p>
        </w:tc>
      </w:tr>
      <w:tr>
        <w:trPr>
          <w:cantSplit/>
        </w:trPr>
        <w:tc>
          <w:tcPr>
            <w:tcW w:type="dxa" w:w="252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设备工程师-临港（2027届校招）-DIFF</w:t>
            </w:r>
          </w:p>
        </w:tc>
        <w:tc>
          <w:tcPr>
            <w:tcW w:type="dxa" w:w="151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1-2万·16薪</w:t>
            </w:r>
          </w:p>
        </w:tc>
        <w:tc>
          <w:tcPr>
            <w:tcW w:type="dxa" w:w="1440"/>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20,000 元</w:t>
            </w:r>
          </w:p>
        </w:tc>
        <w:tc>
          <w:tcPr>
            <w:tcW w:type="dxa" w:w="446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学历要求硕士，不是本科主样本</w:t>
            </w:r>
          </w:p>
        </w:tc>
      </w:tr>
      <w:tr>
        <w:trPr>
          <w:cantSplit/>
        </w:trPr>
        <w:tc>
          <w:tcPr>
            <w:tcW w:type="dxa" w:w="252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机电一体化工程师</w:t>
            </w:r>
          </w:p>
        </w:tc>
        <w:tc>
          <w:tcPr>
            <w:tcW w:type="dxa" w:w="151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1-1.2万</w:t>
            </w:r>
          </w:p>
        </w:tc>
        <w:tc>
          <w:tcPr>
            <w:tcW w:type="dxa" w:w="1440"/>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11,000 元</w:t>
            </w:r>
          </w:p>
        </w:tc>
        <w:tc>
          <w:tcPr>
            <w:tcW w:type="dxa" w:w="4464"/>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非2027应届，有1-3年经验要求</w:t>
            </w:r>
          </w:p>
        </w:tc>
      </w:tr>
      <w:tr>
        <w:trPr>
          <w:cantSplit/>
        </w:trPr>
        <w:tc>
          <w:tcPr>
            <w:tcW w:type="dxa" w:w="252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量测设备工程师-临港</w:t>
            </w:r>
          </w:p>
        </w:tc>
        <w:tc>
          <w:tcPr>
            <w:tcW w:type="dxa" w:w="151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1-1.5万·15薪</w:t>
            </w:r>
          </w:p>
        </w:tc>
        <w:tc>
          <w:tcPr>
            <w:tcW w:type="dxa" w:w="1440"/>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15,625 元</w:t>
            </w:r>
          </w:p>
        </w:tc>
        <w:tc>
          <w:tcPr>
            <w:tcW w:type="dxa" w:w="446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有1-3年经验要求，不是应届样本</w:t>
            </w:r>
          </w:p>
        </w:tc>
      </w:tr>
      <w:tr>
        <w:trPr>
          <w:cantSplit/>
        </w:trPr>
        <w:tc>
          <w:tcPr>
            <w:tcW w:type="dxa" w:w="252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量测设备工程师-临港12寸</w:t>
            </w:r>
          </w:p>
        </w:tc>
        <w:tc>
          <w:tcPr>
            <w:tcW w:type="dxa" w:w="151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1.3-1.8万·15薪</w:t>
            </w:r>
          </w:p>
        </w:tc>
        <w:tc>
          <w:tcPr>
            <w:tcW w:type="dxa" w:w="1440"/>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19,375 元</w:t>
            </w:r>
          </w:p>
        </w:tc>
        <w:tc>
          <w:tcPr>
            <w:tcW w:type="dxa" w:w="4464"/>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有1-3年经验要求，不是应届样本</w:t>
            </w:r>
          </w:p>
        </w:tc>
      </w:tr>
      <w:tr>
        <w:trPr>
          <w:cantSplit/>
        </w:trPr>
        <w:tc>
          <w:tcPr>
            <w:tcW w:type="dxa" w:w="252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研发线设备工程师</w:t>
            </w:r>
          </w:p>
        </w:tc>
        <w:tc>
          <w:tcPr>
            <w:tcW w:type="dxa" w:w="151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1.1-1.8万·14薪</w:t>
            </w:r>
          </w:p>
        </w:tc>
        <w:tc>
          <w:tcPr>
            <w:tcW w:type="dxa" w:w="1440"/>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16,917 元</w:t>
            </w:r>
          </w:p>
        </w:tc>
        <w:tc>
          <w:tcPr>
            <w:tcW w:type="dxa" w:w="446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有3-5年经验要求，不是应届样本</w:t>
            </w:r>
          </w:p>
        </w:tc>
      </w:tr>
      <w:tr>
        <w:trPr>
          <w:cantSplit/>
        </w:trPr>
        <w:tc>
          <w:tcPr>
            <w:tcW w:type="dxa" w:w="252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电气工程师（量产支持） (MJ000057)</w:t>
            </w:r>
          </w:p>
        </w:tc>
        <w:tc>
          <w:tcPr>
            <w:tcW w:type="dxa" w:w="151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8000-15000元·17薪</w:t>
            </w:r>
          </w:p>
        </w:tc>
        <w:tc>
          <w:tcPr>
            <w:tcW w:type="dxa" w:w="1440"/>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16,292 元</w:t>
            </w:r>
          </w:p>
        </w:tc>
        <w:tc>
          <w:tcPr>
            <w:tcW w:type="dxa" w:w="4464"/>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有1-3年经验要求，不是应届样本</w:t>
            </w:r>
          </w:p>
        </w:tc>
      </w:tr>
      <w:tr>
        <w:trPr>
          <w:cantSplit/>
        </w:trPr>
        <w:tc>
          <w:tcPr>
            <w:tcW w:type="dxa" w:w="252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售后工程师-上海临港</w:t>
            </w:r>
          </w:p>
        </w:tc>
        <w:tc>
          <w:tcPr>
            <w:tcW w:type="dxa" w:w="151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6000-9000元·13薪</w:t>
            </w:r>
          </w:p>
        </w:tc>
        <w:tc>
          <w:tcPr>
            <w:tcW w:type="dxa" w:w="1440"/>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8,125 元</w:t>
            </w:r>
          </w:p>
        </w:tc>
        <w:tc>
          <w:tcPr>
            <w:tcW w:type="dxa" w:w="446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未明确限定2027应届，且岗位描述含值班/快速到场要求</w:t>
            </w:r>
          </w:p>
        </w:tc>
      </w:tr>
    </w:tbl>
    <w:p>
      <w:pPr>
        <w:spacing w:after="0"/>
      </w:pPr>
    </w:p>
    <w:p>
      <w:pPr>
        <w:spacing w:after="100" w:line="300" w:lineRule="auto"/>
      </w:pPr>
      <w:r>
        <w:rPr>
          <w:rFonts w:ascii="等线" w:hAnsi="等线" w:eastAsia="等线"/>
          <w:b w:val="0"/>
          <w:i w:val="0"/>
          <w:color w:val="000000"/>
          <w:sz w:val="21"/>
        </w:rPr>
        <w:t>这7条排除样本的年化区间中点为8,125至20,000元/月，中位数为16,291.7元/月，但其中包含1至3年、3至5年经验岗、硕士岗和条件不同的售后岗。该中位数只描述这批被排除记录，不能作为2027届本科应届生工资。</w:t>
      </w:r>
    </w:p>
    <w:p>
      <w:r>
        <w:br w:type="page"/>
      </w:r>
    </w:p>
    <w:p>
      <w:pPr>
        <w:pStyle w:val="Heading1"/>
        <w:keepNext/>
      </w:pPr>
      <w:r>
        <w:rPr>
          <w:rFonts w:ascii="等线" w:hAnsi="等线" w:eastAsia="等线"/>
          <w:b/>
          <w:i w:val="0"/>
          <w:color w:val="000000"/>
          <w:sz w:val="36"/>
        </w:rPr>
        <w:t>五 官方工资与制度校准</w:t>
      </w:r>
    </w:p>
    <w:p>
      <w:pPr>
        <w:spacing w:after="100" w:line="300" w:lineRule="auto"/>
      </w:pPr>
      <w:r>
        <w:rPr>
          <w:rFonts w:ascii="等线" w:hAnsi="等线" w:eastAsia="等线"/>
          <w:b w:val="0"/>
          <w:i w:val="0"/>
          <w:color w:val="000000"/>
          <w:sz w:val="21"/>
        </w:rPr>
        <w:t>上海目前可取得的官方工资类数据是全口径就业人员平均工资和居民收入统计，不是电气工程及其自动化本科应届生招聘工资价位。官方数字用于校验统计口径和制度参数，不能自动替代目标岗位广告值。</w:t>
      </w:r>
    </w:p>
    <w:p>
      <w:pPr>
        <w:keepNext/>
        <w:spacing w:before="120" w:after="80"/>
      </w:pPr>
      <w:r>
        <w:rPr>
          <w:rFonts w:ascii="等线" w:hAnsi="等线" w:eastAsia="等线"/>
          <w:b/>
          <w:i w:val="0"/>
          <w:color w:val="4C4C4C"/>
          <w:sz w:val="18"/>
        </w:rPr>
        <w:t>表 6  官方统计与制度口径</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rPr>
          <w:tblHeader w:val="true"/>
          <w:cantSplit/>
        </w:trPr>
        <w:tc>
          <w:tcPr>
            <w:tcW w:type="dxa" w:w="295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指标</w:t>
            </w:r>
          </w:p>
        </w:tc>
        <w:tc>
          <w:tcPr>
            <w:tcW w:type="dxa" w:w="223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数值</w:t>
            </w:r>
          </w:p>
        </w:tc>
        <w:tc>
          <w:tcPr>
            <w:tcW w:type="dxa" w:w="367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统计期 / 用途</w:t>
            </w:r>
          </w:p>
        </w:tc>
        <w:tc>
          <w:tcPr>
            <w:tcW w:type="dxa" w:w="648"/>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等级</w:t>
            </w:r>
          </w:p>
        </w:tc>
      </w:tr>
      <w:tr>
        <w:trPr>
          <w:cantSplit/>
        </w:trPr>
        <w:tc>
          <w:tcPr>
            <w:tcW w:type="dxa" w:w="295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上海全口径单位就业人员平均工资</w:t>
            </w:r>
          </w:p>
        </w:tc>
        <w:tc>
          <w:tcPr>
            <w:tcW w:type="dxa" w:w="223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12,577 元/月</w:t>
            </w:r>
          </w:p>
        </w:tc>
        <w:tc>
          <w:tcPr>
            <w:tcW w:type="dxa" w:w="367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2025口径，用于2026社保；不是应届薪资</w:t>
            </w:r>
          </w:p>
        </w:tc>
        <w:tc>
          <w:tcPr>
            <w:tcW w:type="dxa" w:w="648"/>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A</w:t>
            </w:r>
          </w:p>
        </w:tc>
      </w:tr>
      <w:tr>
        <w:trPr>
          <w:cantSplit/>
        </w:trPr>
        <w:tc>
          <w:tcPr>
            <w:tcW w:type="dxa" w:w="295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全体居民人均可支配收入</w:t>
            </w:r>
          </w:p>
        </w:tc>
        <w:tc>
          <w:tcPr>
            <w:tcW w:type="dxa" w:w="223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91,987 元/年</w:t>
            </w:r>
          </w:p>
        </w:tc>
        <w:tc>
          <w:tcPr>
            <w:tcW w:type="dxa" w:w="367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2025年；不是岗位工资</w:t>
            </w:r>
          </w:p>
        </w:tc>
        <w:tc>
          <w:tcPr>
            <w:tcW w:type="dxa" w:w="648"/>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A</w:t>
            </w:r>
          </w:p>
        </w:tc>
      </w:tr>
      <w:tr>
        <w:trPr>
          <w:cantSplit/>
        </w:trPr>
        <w:tc>
          <w:tcPr>
            <w:tcW w:type="dxa" w:w="295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全体居民人均消费支出</w:t>
            </w:r>
          </w:p>
        </w:tc>
        <w:tc>
          <w:tcPr>
            <w:tcW w:type="dxa" w:w="223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54,765 元/年</w:t>
            </w:r>
          </w:p>
        </w:tc>
        <w:tc>
          <w:tcPr>
            <w:tcW w:type="dxa" w:w="367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2025年；不是单身青年预算</w:t>
            </w:r>
          </w:p>
        </w:tc>
        <w:tc>
          <w:tcPr>
            <w:tcW w:type="dxa" w:w="648"/>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A</w:t>
            </w:r>
          </w:p>
        </w:tc>
      </w:tr>
      <w:tr>
        <w:trPr>
          <w:cantSplit/>
        </w:trPr>
        <w:tc>
          <w:tcPr>
            <w:tcW w:type="dxa" w:w="295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城镇常住居民人均消费支出</w:t>
            </w:r>
          </w:p>
        </w:tc>
        <w:tc>
          <w:tcPr>
            <w:tcW w:type="dxa" w:w="223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57,076 元/年</w:t>
            </w:r>
          </w:p>
        </w:tc>
        <w:tc>
          <w:tcPr>
            <w:tcW w:type="dxa" w:w="367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2025年；外部背景</w:t>
            </w:r>
          </w:p>
        </w:tc>
        <w:tc>
          <w:tcPr>
            <w:tcW w:type="dxa" w:w="648"/>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A</w:t>
            </w:r>
          </w:p>
        </w:tc>
      </w:tr>
      <w:tr>
        <w:trPr>
          <w:cantSplit/>
        </w:trPr>
        <w:tc>
          <w:tcPr>
            <w:tcW w:type="dxa" w:w="295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社保缴费基数</w:t>
            </w:r>
          </w:p>
        </w:tc>
        <w:tc>
          <w:tcPr>
            <w:tcW w:type="dxa" w:w="223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7,546至37,731 元/月</w:t>
            </w:r>
          </w:p>
        </w:tc>
        <w:tc>
          <w:tcPr>
            <w:tcW w:type="dxa" w:w="367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2026-07起，个人社保10.5%</w:t>
            </w:r>
          </w:p>
        </w:tc>
        <w:tc>
          <w:tcPr>
            <w:tcW w:type="dxa" w:w="648"/>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A</w:t>
            </w:r>
          </w:p>
        </w:tc>
      </w:tr>
      <w:tr>
        <w:trPr>
          <w:cantSplit/>
        </w:trPr>
        <w:tc>
          <w:tcPr>
            <w:tcW w:type="dxa" w:w="295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公积金缴存基数与比例</w:t>
            </w:r>
          </w:p>
        </w:tc>
        <w:tc>
          <w:tcPr>
            <w:tcW w:type="dxa" w:w="223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2,740至37,731 元/月；5%至7%</w:t>
            </w:r>
          </w:p>
        </w:tc>
        <w:tc>
          <w:tcPr>
            <w:tcW w:type="dxa" w:w="367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2026年度；主情景7%，敏感性5%</w:t>
            </w:r>
          </w:p>
        </w:tc>
        <w:tc>
          <w:tcPr>
            <w:tcW w:type="dxa" w:w="648"/>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A</w:t>
            </w:r>
          </w:p>
        </w:tc>
      </w:tr>
      <w:tr>
        <w:trPr>
          <w:cantSplit/>
        </w:trPr>
        <w:tc>
          <w:tcPr>
            <w:tcW w:type="dxa" w:w="295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基本减除与住房租金扣除</w:t>
            </w:r>
          </w:p>
        </w:tc>
        <w:tc>
          <w:tcPr>
            <w:tcW w:type="dxa" w:w="223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60,000元/年；1,500元/月</w:t>
            </w:r>
          </w:p>
        </w:tc>
        <w:tc>
          <w:tcPr>
            <w:tcW w:type="dxa" w:w="367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符合主要工作城市无房、实际租房条件</w:t>
            </w:r>
          </w:p>
        </w:tc>
        <w:tc>
          <w:tcPr>
            <w:tcW w:type="dxa" w:w="648"/>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A</w:t>
            </w:r>
          </w:p>
        </w:tc>
      </w:tr>
    </w:tbl>
    <w:p>
      <w:pPr>
        <w:spacing w:after="0"/>
      </w:pPr>
    </w:p>
    <w:p>
      <w:pPr>
        <w:spacing w:after="100" w:line="300" w:lineRule="auto"/>
      </w:pPr>
      <w:r>
        <w:rPr>
          <w:rFonts w:ascii="等线" w:hAnsi="等线" w:eastAsia="等线"/>
          <w:b/>
          <w:i w:val="0"/>
          <w:color w:val="000000"/>
          <w:sz w:val="21"/>
        </w:rPr>
        <w:t>官方统计的使用边界很重要。</w:t>
      </w:r>
      <w:r>
        <w:rPr>
          <w:rFonts w:ascii="等线" w:hAnsi="等线" w:eastAsia="等线"/>
          <w:b w:val="0"/>
          <w:i w:val="0"/>
          <w:color w:val="000000"/>
          <w:sz w:val="21"/>
        </w:rPr>
        <w:t>91,987元的年可支配收入覆盖全体居民和不同家庭结构；12,577元是社保口径全口径平均工资。把任一数字直接写成“临港电气本科起薪”都会混淆统计对象、学历、经验和地区层级。</w:t>
      </w:r>
    </w:p>
    <w:p>
      <w:pPr>
        <w:pStyle w:val="Heading1"/>
        <w:keepNext/>
      </w:pPr>
      <w:r>
        <w:rPr>
          <w:rFonts w:ascii="等线" w:hAnsi="等线" w:eastAsia="等线"/>
          <w:b/>
          <w:i w:val="0"/>
          <w:color w:val="000000"/>
          <w:sz w:val="36"/>
        </w:rPr>
        <w:t>六 房租、押付与首月现金</w:t>
      </w:r>
    </w:p>
    <w:p>
      <w:pPr>
        <w:spacing w:after="100" w:line="300" w:lineRule="auto"/>
      </w:pPr>
      <w:r>
        <w:rPr>
          <w:rFonts w:ascii="等线" w:hAnsi="等线" w:eastAsia="等线"/>
          <w:b w:val="0"/>
          <w:i w:val="0"/>
          <w:color w:val="000000"/>
          <w:sz w:val="21"/>
        </w:rPr>
        <w:t>临港核心区的租房数据明显弱于官方制度数据。当前可复核的整租平台展示价为一室约2,200元/月，但页面没有公开样本量、可比面积和成交属性；具体房源示例集中在2,000至2,300元/月，且发布于2025年。合租单间有1,100元的具体历史挂牌，同时以1,100至1,500元作为观察区间。所有市场价均应标为挂牌或页面展示价，不是成交价。</w:t>
      </w:r>
    </w:p>
    <w:p>
      <w:pPr>
        <w:keepNext/>
        <w:spacing w:before="120" w:after="80"/>
      </w:pPr>
      <w:r>
        <w:rPr>
          <w:rFonts w:ascii="等线" w:hAnsi="等线" w:eastAsia="等线"/>
          <w:b/>
          <w:i w:val="0"/>
          <w:color w:val="4C4C4C"/>
          <w:sz w:val="18"/>
        </w:rPr>
        <w:t>表 7  房租观察与证据边界</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016"/>
        <w:gridCol w:w="2016"/>
        <w:gridCol w:w="2016"/>
        <w:gridCol w:w="2016"/>
        <w:gridCol w:w="2016"/>
      </w:tblGrid>
      <w:tr>
        <w:trPr>
          <w:tblHeader w:val="true"/>
          <w:cantSplit/>
        </w:trPr>
        <w:tc>
          <w:tcPr>
            <w:tcW w:type="dxa" w:w="237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类型 / 项目</w:t>
            </w:r>
          </w:p>
        </w:tc>
        <w:tc>
          <w:tcPr>
            <w:tcW w:type="dxa" w:w="165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月租</w:t>
            </w:r>
          </w:p>
        </w:tc>
        <w:tc>
          <w:tcPr>
            <w:tcW w:type="dxa" w:w="223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面积或口径</w:t>
            </w:r>
          </w:p>
        </w:tc>
        <w:tc>
          <w:tcPr>
            <w:tcW w:type="dxa" w:w="1224"/>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日期</w:t>
            </w:r>
          </w:p>
        </w:tc>
        <w:tc>
          <w:tcPr>
            <w:tcW w:type="dxa" w:w="2088"/>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等级与用途</w:t>
            </w:r>
          </w:p>
        </w:tc>
      </w:tr>
      <w:tr>
        <w:trPr>
          <w:cantSplit/>
        </w:trPr>
        <w:tc>
          <w:tcPr>
            <w:tcW w:type="dxa" w:w="237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临港新城整租平台展示</w:t>
            </w:r>
          </w:p>
        </w:tc>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2,200 元</w:t>
            </w:r>
          </w:p>
        </w:tc>
        <w:tc>
          <w:tcPr>
            <w:tcW w:type="dxa" w:w="223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一室；样本量不透明</w:t>
            </w:r>
          </w:p>
        </w:tc>
        <w:tc>
          <w:tcPr>
            <w:tcW w:type="dxa" w:w="1224"/>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2026-10-26</w:t>
            </w:r>
          </w:p>
        </w:tc>
        <w:tc>
          <w:tcPr>
            <w:tcW w:type="dxa" w:w="208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C；主模型整租锚点</w:t>
            </w:r>
          </w:p>
        </w:tc>
      </w:tr>
      <w:tr>
        <w:trPr>
          <w:cantSplit/>
        </w:trPr>
        <w:tc>
          <w:tcPr>
            <w:tcW w:type="dxa" w:w="237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绿地东岸涟城整租</w:t>
            </w:r>
          </w:p>
        </w:tc>
        <w:tc>
          <w:tcPr>
            <w:tcW w:type="dxa" w:w="165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2,300 元</w:t>
            </w:r>
          </w:p>
        </w:tc>
        <w:tc>
          <w:tcPr>
            <w:tcW w:type="dxa" w:w="223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84㎡，2室1厅</w:t>
            </w:r>
          </w:p>
        </w:tc>
        <w:tc>
          <w:tcPr>
            <w:tcW w:type="dxa" w:w="1224"/>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2025-09-01</w:t>
            </w:r>
          </w:p>
        </w:tc>
        <w:tc>
          <w:tcPr>
            <w:tcW w:type="dxa" w:w="208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C；历史具体挂牌</w:t>
            </w:r>
          </w:p>
        </w:tc>
      </w:tr>
      <w:tr>
        <w:trPr>
          <w:cantSplit/>
        </w:trPr>
        <w:tc>
          <w:tcPr>
            <w:tcW w:type="dxa" w:w="237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宜浩佳园整租</w:t>
            </w:r>
          </w:p>
        </w:tc>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2,000 元</w:t>
            </w:r>
          </w:p>
        </w:tc>
        <w:tc>
          <w:tcPr>
            <w:tcW w:type="dxa" w:w="223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77㎡，1室2厅</w:t>
            </w:r>
          </w:p>
        </w:tc>
        <w:tc>
          <w:tcPr>
            <w:tcW w:type="dxa" w:w="1224"/>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2025-07-10</w:t>
            </w:r>
          </w:p>
        </w:tc>
        <w:tc>
          <w:tcPr>
            <w:tcW w:type="dxa" w:w="208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C；历史具体挂牌，户型不典型</w:t>
            </w:r>
          </w:p>
        </w:tc>
      </w:tr>
      <w:tr>
        <w:trPr>
          <w:cantSplit/>
        </w:trPr>
        <w:tc>
          <w:tcPr>
            <w:tcW w:type="dxa" w:w="237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保利蔚蓝林语合租</w:t>
            </w:r>
          </w:p>
        </w:tc>
        <w:tc>
          <w:tcPr>
            <w:tcW w:type="dxa" w:w="165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1,100 元</w:t>
            </w:r>
          </w:p>
        </w:tc>
        <w:tc>
          <w:tcPr>
            <w:tcW w:type="dxa" w:w="223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单间、独立卫浴；面积未核实</w:t>
            </w:r>
          </w:p>
        </w:tc>
        <w:tc>
          <w:tcPr>
            <w:tcW w:type="dxa" w:w="1224"/>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2025-06-03</w:t>
            </w:r>
          </w:p>
        </w:tc>
        <w:tc>
          <w:tcPr>
            <w:tcW w:type="dxa" w:w="208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C；历史具体挂牌</w:t>
            </w:r>
          </w:p>
        </w:tc>
      </w:tr>
      <w:tr>
        <w:trPr>
          <w:cantSplit/>
        </w:trPr>
        <w:tc>
          <w:tcPr>
            <w:tcW w:type="dxa" w:w="237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临港合租观察区间</w:t>
            </w:r>
          </w:p>
        </w:tc>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1,100至1,500 元</w:t>
            </w:r>
          </w:p>
        </w:tc>
        <w:tc>
          <w:tcPr>
            <w:tcW w:type="dxa" w:w="223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单间；样本量不透明</w:t>
            </w:r>
          </w:p>
        </w:tc>
        <w:tc>
          <w:tcPr>
            <w:tcW w:type="dxa" w:w="1224"/>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2026-10-26</w:t>
            </w:r>
          </w:p>
        </w:tc>
        <w:tc>
          <w:tcPr>
            <w:tcW w:type="dxa" w:w="208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C；主模型取1,200至1,300</w:t>
            </w:r>
          </w:p>
        </w:tc>
      </w:tr>
      <w:tr>
        <w:trPr>
          <w:cantSplit/>
        </w:trPr>
        <w:tc>
          <w:tcPr>
            <w:tcW w:type="dxa" w:w="237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安居客特殊低价示例</w:t>
            </w:r>
          </w:p>
        </w:tc>
        <w:tc>
          <w:tcPr>
            <w:tcW w:type="dxa" w:w="165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1,300 元</w:t>
            </w:r>
          </w:p>
        </w:tc>
        <w:tc>
          <w:tcPr>
            <w:tcW w:type="dxa" w:w="223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1室2厅；面积和稳定性未核</w:t>
            </w:r>
          </w:p>
        </w:tc>
        <w:tc>
          <w:tcPr>
            <w:tcW w:type="dxa" w:w="1224"/>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2026-10-26</w:t>
            </w:r>
          </w:p>
        </w:tc>
        <w:tc>
          <w:tcPr>
            <w:tcW w:type="dxa" w:w="208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C；不进入典型整租主值</w:t>
            </w:r>
          </w:p>
        </w:tc>
      </w:tr>
      <w:tr>
        <w:trPr>
          <w:cantSplit/>
        </w:trPr>
        <w:tc>
          <w:tcPr>
            <w:tcW w:type="dxa" w:w="237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官方人才公寓一居</w:t>
            </w:r>
          </w:p>
        </w:tc>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1,000至1,800 元</w:t>
            </w:r>
          </w:p>
        </w:tc>
        <w:tc>
          <w:tcPr>
            <w:tcW w:type="dxa" w:w="223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31.27至53.25㎡</w:t>
            </w:r>
          </w:p>
        </w:tc>
        <w:tc>
          <w:tcPr>
            <w:tcW w:type="dxa" w:w="1224"/>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2024-04-12</w:t>
            </w:r>
          </w:p>
        </w:tc>
        <w:tc>
          <w:tcPr>
            <w:tcW w:type="dxa" w:w="208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A租金、条件性资格；压力值1,500</w:t>
            </w:r>
          </w:p>
        </w:tc>
      </w:tr>
    </w:tbl>
    <w:p>
      <w:pPr>
        <w:spacing w:after="0"/>
      </w:pPr>
    </w:p>
    <w:p>
      <w:pPr>
        <w:spacing w:after="100" w:line="300" w:lineRule="auto"/>
      </w:pPr>
      <w:r>
        <w:rPr>
          <w:rFonts w:ascii="等线" w:hAnsi="等线" w:eastAsia="等线"/>
          <w:b w:val="0"/>
          <w:i w:val="0"/>
          <w:color w:val="000000"/>
          <w:sz w:val="21"/>
        </w:rPr>
        <w:t>临港主城区人才公寓的一居室租金为官方项目价，但需要单位清单、上海户籍或居住证积分达标、本科及以上、本人及家庭无房等条件，并受项目清单和空房约束。报告仅把1,500元作为条件情景；如果没有资格或没有房源，不能把人才公寓成本当成默认选项。青年住房补贴只适用于公告所列高水平大学等条件，不进入普通本科主情景。</w:t>
      </w:r>
    </w:p>
    <w:p>
      <w:pPr>
        <w:keepNext/>
        <w:spacing w:before="120" w:after="80"/>
      </w:pPr>
      <w:r>
        <w:rPr>
          <w:rFonts w:ascii="等线" w:hAnsi="等线" w:eastAsia="等线"/>
          <w:b/>
          <w:i w:val="0"/>
          <w:color w:val="4C4C4C"/>
          <w:sz w:val="18"/>
        </w:rPr>
        <w:t>表 8  10,000元压力薪资下的住房方案与首月资金</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80"/>
        <w:gridCol w:w="1680"/>
        <w:gridCol w:w="1680"/>
        <w:gridCol w:w="1680"/>
        <w:gridCol w:w="1680"/>
        <w:gridCol w:w="1680"/>
      </w:tblGrid>
      <w:tr>
        <w:trPr>
          <w:tblHeader w:val="true"/>
          <w:cantSplit/>
        </w:trPr>
        <w:tc>
          <w:tcPr>
            <w:tcW w:type="dxa" w:w="223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住房方案</w:t>
            </w:r>
          </w:p>
        </w:tc>
        <w:tc>
          <w:tcPr>
            <w:tcW w:type="dxa" w:w="129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月租</w:t>
            </w:r>
          </w:p>
        </w:tc>
        <w:tc>
          <w:tcPr>
            <w:tcW w:type="dxa" w:w="223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押付与渠道费</w:t>
            </w:r>
          </w:p>
        </w:tc>
        <w:tc>
          <w:tcPr>
            <w:tcW w:type="dxa" w:w="165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月均到手现金</w:t>
            </w:r>
          </w:p>
        </w:tc>
        <w:tc>
          <w:tcPr>
            <w:tcW w:type="dxa" w:w="165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首月最低现金</w:t>
            </w:r>
          </w:p>
        </w:tc>
        <w:tc>
          <w:tcPr>
            <w:tcW w:type="dxa" w:w="1440"/>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建议储备</w:t>
            </w:r>
          </w:p>
        </w:tc>
      </w:tr>
      <w:tr>
        <w:trPr>
          <w:cantSplit/>
        </w:trPr>
        <w:tc>
          <w:tcPr>
            <w:tcW w:type="dxa" w:w="223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合租-直租</w:t>
            </w:r>
          </w:p>
        </w:tc>
        <w:tc>
          <w:tcPr>
            <w:tcW w:type="dxa" w:w="129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1,200 元</w:t>
            </w:r>
          </w:p>
        </w:tc>
        <w:tc>
          <w:tcPr>
            <w:tcW w:type="dxa" w:w="223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1押 / 1付</w:t>
            </w:r>
          </w:p>
        </w:tc>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8,197.5 元</w:t>
            </w:r>
          </w:p>
        </w:tc>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5,105.9 元</w:t>
            </w:r>
          </w:p>
        </w:tc>
        <w:tc>
          <w:tcPr>
            <w:tcW w:type="dxa" w:w="1440"/>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7,105.9 元</w:t>
            </w:r>
          </w:p>
        </w:tc>
      </w:tr>
      <w:tr>
        <w:trPr>
          <w:cantSplit/>
        </w:trPr>
        <w:tc>
          <w:tcPr>
            <w:tcW w:type="dxa" w:w="223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合租-中介</w:t>
            </w:r>
          </w:p>
        </w:tc>
        <w:tc>
          <w:tcPr>
            <w:tcW w:type="dxa" w:w="129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1,300 元</w:t>
            </w:r>
          </w:p>
        </w:tc>
        <w:tc>
          <w:tcPr>
            <w:tcW w:type="dxa" w:w="223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1押 / 3付 / 中介0.35月</w:t>
            </w:r>
          </w:p>
        </w:tc>
        <w:tc>
          <w:tcPr>
            <w:tcW w:type="dxa" w:w="165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8,197.5 元</w:t>
            </w:r>
          </w:p>
        </w:tc>
        <w:tc>
          <w:tcPr>
            <w:tcW w:type="dxa" w:w="165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8,360.9 元</w:t>
            </w:r>
          </w:p>
        </w:tc>
        <w:tc>
          <w:tcPr>
            <w:tcW w:type="dxa" w:w="1440"/>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10,360.9 元</w:t>
            </w:r>
          </w:p>
        </w:tc>
      </w:tr>
      <w:tr>
        <w:trPr>
          <w:cantSplit/>
        </w:trPr>
        <w:tc>
          <w:tcPr>
            <w:tcW w:type="dxa" w:w="223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整租-直租</w:t>
            </w:r>
          </w:p>
        </w:tc>
        <w:tc>
          <w:tcPr>
            <w:tcW w:type="dxa" w:w="129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2,200 元</w:t>
            </w:r>
          </w:p>
        </w:tc>
        <w:tc>
          <w:tcPr>
            <w:tcW w:type="dxa" w:w="223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1押 / 1付</w:t>
            </w:r>
          </w:p>
        </w:tc>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8,197.5 元</w:t>
            </w:r>
          </w:p>
        </w:tc>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7,168.2 元</w:t>
            </w:r>
          </w:p>
        </w:tc>
        <w:tc>
          <w:tcPr>
            <w:tcW w:type="dxa" w:w="1440"/>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9,168.2 元</w:t>
            </w:r>
          </w:p>
        </w:tc>
      </w:tr>
      <w:tr>
        <w:trPr>
          <w:cantSplit/>
        </w:trPr>
        <w:tc>
          <w:tcPr>
            <w:tcW w:type="dxa" w:w="223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整租-中介</w:t>
            </w:r>
          </w:p>
        </w:tc>
        <w:tc>
          <w:tcPr>
            <w:tcW w:type="dxa" w:w="129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2,200 元</w:t>
            </w:r>
          </w:p>
        </w:tc>
        <w:tc>
          <w:tcPr>
            <w:tcW w:type="dxa" w:w="223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1押 / 3付 / 中介0.35月</w:t>
            </w:r>
          </w:p>
        </w:tc>
        <w:tc>
          <w:tcPr>
            <w:tcW w:type="dxa" w:w="165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8,197.5 元</w:t>
            </w:r>
          </w:p>
        </w:tc>
        <w:tc>
          <w:tcPr>
            <w:tcW w:type="dxa" w:w="165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12,338.2 元</w:t>
            </w:r>
          </w:p>
        </w:tc>
        <w:tc>
          <w:tcPr>
            <w:tcW w:type="dxa" w:w="1440"/>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14,338.2 元</w:t>
            </w:r>
          </w:p>
        </w:tc>
      </w:tr>
      <w:tr>
        <w:trPr>
          <w:cantSplit/>
        </w:trPr>
        <w:tc>
          <w:tcPr>
            <w:tcW w:type="dxa" w:w="223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人才公寓</w:t>
            </w:r>
          </w:p>
        </w:tc>
        <w:tc>
          <w:tcPr>
            <w:tcW w:type="dxa" w:w="129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1,500 元</w:t>
            </w:r>
          </w:p>
        </w:tc>
        <w:tc>
          <w:tcPr>
            <w:tcW w:type="dxa" w:w="223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5"/>
              </w:rPr>
              <w:t>1押 / 1付</w:t>
            </w:r>
          </w:p>
        </w:tc>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8,197.5 元</w:t>
            </w:r>
          </w:p>
        </w:tc>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5,788.2 元</w:t>
            </w:r>
          </w:p>
        </w:tc>
        <w:tc>
          <w:tcPr>
            <w:tcW w:type="dxa" w:w="1440"/>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5"/>
              </w:rPr>
              <w:t>7,788.2 元</w:t>
            </w:r>
          </w:p>
        </w:tc>
      </w:tr>
    </w:tbl>
    <w:p>
      <w:pPr>
        <w:spacing w:after="0"/>
      </w:pPr>
    </w:p>
    <w:p>
      <w:pPr>
        <w:spacing w:after="100" w:line="300" w:lineRule="auto"/>
      </w:pPr>
      <w:r>
        <w:rPr>
          <w:rFonts w:ascii="等线" w:hAnsi="等线" w:eastAsia="等线"/>
          <w:b w:val="0"/>
          <w:i w:val="0"/>
          <w:color w:val="000000"/>
          <w:sz w:val="21"/>
        </w:rPr>
        <w:t>押一付一合租直租的最低首月现金为5,105.9元，建议储备7,105.9元；押一付三且中介费0.35月时，最低首月现金升至8,360.9元，建议储备10,360.9元。整租直租分别为7,168.2元和9,168.2元；整租中介押一付三分别为12,338.2元和14,338.2元。差额主要来自押金、预付租金和中介费，而不是月租金本身。</w:t>
      </w:r>
    </w:p>
    <w:p>
      <w:pPr>
        <w:spacing w:after="100" w:line="300" w:lineRule="auto"/>
      </w:pPr>
      <w:r>
        <w:rPr>
          <w:rFonts w:ascii="等线" w:hAnsi="等线" w:eastAsia="等线"/>
          <w:b w:val="0"/>
          <w:i w:val="0"/>
          <w:color w:val="000000"/>
          <w:sz w:val="21"/>
        </w:rPr>
        <w:t>首月现金还可能被搬家、床品、厨具、开卡、押金以外的平台服务费和首月采购抬高。报告只把2,000元作为应急缓冲，不是对所有个人都足够的保证。若家庭承担押付，月度现金流不变，但入职门槛会显著下降。</w:t>
      </w:r>
    </w:p>
    <w:p>
      <w:pPr>
        <w:pStyle w:val="Heading1"/>
        <w:keepNext/>
      </w:pPr>
      <w:r>
        <w:rPr>
          <w:rFonts w:ascii="等线" w:hAnsi="等线" w:eastAsia="等线"/>
          <w:b/>
          <w:i w:val="0"/>
          <w:color w:val="000000"/>
          <w:sz w:val="36"/>
        </w:rPr>
        <w:t>七 生活成本与通勤</w:t>
      </w:r>
    </w:p>
    <w:p>
      <w:pPr>
        <w:spacing w:after="100" w:line="300" w:lineRule="auto"/>
      </w:pPr>
      <w:r>
        <w:rPr>
          <w:rFonts w:ascii="等线" w:hAnsi="等线" w:eastAsia="等线"/>
          <w:b w:val="0"/>
          <w:i w:val="0"/>
          <w:color w:val="000000"/>
          <w:sz w:val="21"/>
        </w:rPr>
        <w:t>居住成本之外，餐饮是最大且最容易产生虚假精确的项目。本报告不把偶尔出现的满减价当作长期价格，而用三档月度餐饮篮子做敏感性：1,500元用于食堂、自炊和低价混合；2,100元用于堂食与外卖混合；2,800元用于外卖高频。外卖单餐全包观察约为22至44元，但没有取得连续30天、可复核的完整菜单，因此月度数字标为C级模型。</w:t>
      </w:r>
    </w:p>
    <w:p>
      <w:pPr>
        <w:keepNext/>
        <w:spacing w:before="120" w:after="80"/>
      </w:pPr>
      <w:r>
        <w:rPr>
          <w:rFonts w:ascii="等线" w:hAnsi="等线" w:eastAsia="等线"/>
          <w:b/>
          <w:i w:val="0"/>
          <w:color w:val="4C4C4C"/>
          <w:sz w:val="18"/>
        </w:rPr>
        <w:t>表 9  生活成本主情景与敏感性</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rPr>
          <w:tblHeader w:val="true"/>
          <w:cantSplit/>
        </w:trPr>
        <w:tc>
          <w:tcPr>
            <w:tcW w:type="dxa" w:w="1584"/>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项目</w:t>
            </w:r>
          </w:p>
        </w:tc>
        <w:tc>
          <w:tcPr>
            <w:tcW w:type="dxa" w:w="1728"/>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主情景</w:t>
            </w:r>
          </w:p>
        </w:tc>
        <w:tc>
          <w:tcPr>
            <w:tcW w:type="dxa" w:w="5400"/>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敏感性或计算说明</w:t>
            </w:r>
          </w:p>
        </w:tc>
        <w:tc>
          <w:tcPr>
            <w:tcW w:type="dxa" w:w="115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等级</w:t>
            </w:r>
          </w:p>
        </w:tc>
      </w:tr>
      <w:tr>
        <w:trPr>
          <w:cantSplit/>
        </w:trPr>
        <w:tc>
          <w:tcPr>
            <w:tcW w:type="dxa" w:w="158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餐饮</w:t>
            </w:r>
          </w:p>
        </w:tc>
        <w:tc>
          <w:tcPr>
            <w:tcW w:type="dxa" w:w="1728"/>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2,100 元/月</w:t>
            </w:r>
          </w:p>
        </w:tc>
        <w:tc>
          <w:tcPr>
            <w:tcW w:type="dxa" w:w="540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低档1,500；外卖高频2,800；按30天篮子</w:t>
            </w:r>
          </w:p>
        </w:tc>
        <w:tc>
          <w:tcPr>
            <w:tcW w:type="dxa" w:w="115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C</w:t>
            </w:r>
          </w:p>
        </w:tc>
      </w:tr>
      <w:tr>
        <w:trPr>
          <w:cantSplit/>
        </w:trPr>
        <w:tc>
          <w:tcPr>
            <w:tcW w:type="dxa" w:w="1584"/>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水费</w:t>
            </w:r>
          </w:p>
        </w:tc>
        <w:tc>
          <w:tcPr>
            <w:tcW w:type="dxa" w:w="1728"/>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16.2 元/月</w:t>
            </w:r>
          </w:p>
        </w:tc>
        <w:tc>
          <w:tcPr>
            <w:tcW w:type="dxa" w:w="540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4.05元/m³ × 4m³，合租按个人分摊</w:t>
            </w:r>
          </w:p>
        </w:tc>
        <w:tc>
          <w:tcPr>
            <w:tcW w:type="dxa" w:w="115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A单价/C用量</w:t>
            </w:r>
          </w:p>
        </w:tc>
      </w:tr>
      <w:tr>
        <w:trPr>
          <w:cantSplit/>
        </w:trPr>
        <w:tc>
          <w:tcPr>
            <w:tcW w:type="dxa" w:w="158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电费</w:t>
            </w:r>
          </w:p>
        </w:tc>
        <w:tc>
          <w:tcPr>
            <w:tcW w:type="dxa" w:w="1728"/>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61.7 或 74.0 元/月</w:t>
            </w:r>
          </w:p>
        </w:tc>
        <w:tc>
          <w:tcPr>
            <w:tcW w:type="dxa" w:w="540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0.617元/kWh × 100或120kWh</w:t>
            </w:r>
          </w:p>
        </w:tc>
        <w:tc>
          <w:tcPr>
            <w:tcW w:type="dxa" w:w="115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A单价/C用量</w:t>
            </w:r>
          </w:p>
        </w:tc>
      </w:tr>
      <w:tr>
        <w:trPr>
          <w:cantSplit/>
        </w:trPr>
        <w:tc>
          <w:tcPr>
            <w:tcW w:type="dxa" w:w="1584"/>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燃气</w:t>
            </w:r>
          </w:p>
        </w:tc>
        <w:tc>
          <w:tcPr>
            <w:tcW w:type="dxa" w:w="1728"/>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18.0 元/月</w:t>
            </w:r>
          </w:p>
        </w:tc>
        <w:tc>
          <w:tcPr>
            <w:tcW w:type="dxa" w:w="540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3.00元/m³ × 6m³，按个人分摊</w:t>
            </w:r>
          </w:p>
        </w:tc>
        <w:tc>
          <w:tcPr>
            <w:tcW w:type="dxa" w:w="115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A单价/C用量</w:t>
            </w:r>
          </w:p>
        </w:tc>
      </w:tr>
      <w:tr>
        <w:trPr>
          <w:cantSplit/>
        </w:trPr>
        <w:tc>
          <w:tcPr>
            <w:tcW w:type="dxa" w:w="158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网络</w:t>
            </w:r>
          </w:p>
        </w:tc>
        <w:tc>
          <w:tcPr>
            <w:tcW w:type="dxa" w:w="1728"/>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50 或 100 元/月</w:t>
            </w:r>
          </w:p>
        </w:tc>
        <w:tc>
          <w:tcPr>
            <w:tcW w:type="dxa" w:w="540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合租50元/人；整租100元/户</w:t>
            </w:r>
          </w:p>
        </w:tc>
        <w:tc>
          <w:tcPr>
            <w:tcW w:type="dxa" w:w="115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C模型</w:t>
            </w:r>
          </w:p>
        </w:tc>
      </w:tr>
      <w:tr>
        <w:trPr>
          <w:cantSplit/>
        </w:trPr>
        <w:tc>
          <w:tcPr>
            <w:tcW w:type="dxa" w:w="1584"/>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通勤</w:t>
            </w:r>
          </w:p>
        </w:tc>
        <w:tc>
          <w:tcPr>
            <w:tcW w:type="dxa" w:w="1728"/>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160 元/月</w:t>
            </w:r>
          </w:p>
        </w:tc>
        <w:tc>
          <w:tcPr>
            <w:tcW w:type="dxa" w:w="540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公交2元×4次/日×20天；人才公寓情景180元</w:t>
            </w:r>
          </w:p>
        </w:tc>
        <w:tc>
          <w:tcPr>
            <w:tcW w:type="dxa" w:w="115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C路线假设</w:t>
            </w:r>
          </w:p>
        </w:tc>
      </w:tr>
      <w:tr>
        <w:trPr>
          <w:cantSplit/>
        </w:trPr>
        <w:tc>
          <w:tcPr>
            <w:tcW w:type="dxa" w:w="158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其他固定</w:t>
            </w:r>
          </w:p>
        </w:tc>
        <w:tc>
          <w:tcPr>
            <w:tcW w:type="dxa" w:w="1728"/>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300 元/月</w:t>
            </w:r>
          </w:p>
        </w:tc>
        <w:tc>
          <w:tcPr>
            <w:tcW w:type="dxa" w:w="540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手机、清洁、个人用品；不含旅行、医疗、大件</w:t>
            </w:r>
          </w:p>
        </w:tc>
        <w:tc>
          <w:tcPr>
            <w:tcW w:type="dxa" w:w="115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6"/>
              </w:rPr>
              <w:t>C模型</w:t>
            </w:r>
          </w:p>
        </w:tc>
      </w:tr>
    </w:tbl>
    <w:p>
      <w:pPr>
        <w:spacing w:after="0"/>
      </w:pPr>
    </w:p>
    <w:p>
      <w:pPr>
        <w:spacing w:after="100" w:line="300" w:lineRule="auto"/>
      </w:pPr>
      <w:r>
        <w:rPr>
          <w:rFonts w:ascii="等线" w:hAnsi="等线" w:eastAsia="等线"/>
          <w:b w:val="0"/>
          <w:i w:val="0"/>
          <w:color w:val="000000"/>
          <w:sz w:val="21"/>
        </w:rPr>
        <w:t>水、电、燃气单价来自2026年上海市民价格信息指南扫描页。公共交通常规公交单一票制2元，地铁按里程计价；本报告不把公交和地铁同时计入一个月，而用4次公交/日作为较保守上限。实际通勤应以具体公司厂址、班车路线和租房小区复核。</w:t>
      </w:r>
    </w:p>
    <w:p>
      <w:pPr>
        <w:pStyle w:val="Heading1"/>
        <w:keepNext/>
      </w:pPr>
      <w:r>
        <w:rPr>
          <w:rFonts w:ascii="等线" w:hAnsi="等线" w:eastAsia="等线"/>
          <w:b/>
          <w:i w:val="0"/>
          <w:color w:val="000000"/>
          <w:sz w:val="36"/>
        </w:rPr>
        <w:t>八 月净结余与敏感性</w:t>
      </w:r>
    </w:p>
    <w:p>
      <w:pPr>
        <w:spacing w:after="100" w:line="300" w:lineRule="auto"/>
      </w:pPr>
      <w:r>
        <w:rPr>
          <w:rFonts w:ascii="等线" w:hAnsi="等线" w:eastAsia="等线"/>
          <w:b w:val="0"/>
          <w:i w:val="0"/>
          <w:color w:val="000000"/>
          <w:sz w:val="21"/>
        </w:rPr>
        <w:t>薪资压力测试显示，合租与整租之间的月度现金差约为860至1,060元，取决于薪级和公积金口径。两者不是数百元以内无法区分，而是在本模型中对单身租房者持续有实质影响。该判断在房租超过2,400元或公司提供住宿时会改变。</w:t>
      </w:r>
    </w:p>
    <w:p>
      <w:pPr>
        <w:spacing w:after="40"/>
        <w:jc w:val="center"/>
      </w:pPr>
      <w:r>
        <w:drawing>
          <wp:inline xmlns:a="http://schemas.openxmlformats.org/drawingml/2006/main" xmlns:pic="http://schemas.openxmlformats.org/drawingml/2006/picture">
            <wp:extent cx="6035040" cy="3084576"/>
            <wp:docPr id="1" name="Picture 1"/>
            <wp:cNvGraphicFramePr>
              <a:graphicFrameLocks noChangeAspect="1"/>
            </wp:cNvGraphicFramePr>
            <a:graphic>
              <a:graphicData uri="http://schemas.openxmlformats.org/drawingml/2006/picture">
                <pic:pic>
                  <pic:nvPicPr>
                    <pic:cNvPr id="0" name="salary_net_cash.png"/>
                    <pic:cNvPicPr/>
                  </pic:nvPicPr>
                  <pic:blipFill>
                    <a:blip r:embed="rId11"/>
                    <a:stretch>
                      <a:fillRect/>
                    </a:stretch>
                  </pic:blipFill>
                  <pic:spPr>
                    <a:xfrm>
                      <a:off x="0" y="0"/>
                      <a:ext cx="6035040" cy="3084576"/>
                    </a:xfrm>
                    <a:prstGeom prst="rect"/>
                  </pic:spPr>
                </pic:pic>
              </a:graphicData>
            </a:graphic>
          </wp:inline>
        </w:drawing>
      </w:r>
    </w:p>
    <w:p>
      <w:pPr>
        <w:keepNext/>
        <w:spacing w:before="120" w:after="80"/>
      </w:pPr>
      <w:r>
        <w:rPr>
          <w:rFonts w:ascii="等线" w:hAnsi="等线" w:eastAsia="等线"/>
          <w:b/>
          <w:i w:val="0"/>
          <w:color w:val="4C4C4C"/>
          <w:sz w:val="18"/>
        </w:rPr>
        <w:t>图 1  8k至15k压力薪资下的月现金净结余（元/月）</w:t>
      </w:r>
    </w:p>
    <w:p>
      <w:pPr>
        <w:keepNext/>
        <w:spacing w:before="120" w:after="80"/>
      </w:pPr>
      <w:r>
        <w:rPr>
          <w:rFonts w:ascii="等线" w:hAnsi="等线" w:eastAsia="等线"/>
          <w:b/>
          <w:i w:val="0"/>
          <w:color w:val="4C4C4C"/>
          <w:sz w:val="18"/>
        </w:rPr>
        <w:t>表 10  月税后现金与含公积金结余</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1680"/>
        <w:gridCol w:w="1680"/>
        <w:gridCol w:w="1680"/>
        <w:gridCol w:w="1680"/>
        <w:gridCol w:w="1680"/>
        <w:gridCol w:w="1680"/>
      </w:tblGrid>
      <w:tr>
        <w:trPr>
          <w:tblHeader w:val="true"/>
          <w:cantSplit/>
        </w:trPr>
        <w:tc>
          <w:tcPr>
            <w:tcW w:type="dxa" w:w="151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税前月薪</w:t>
            </w:r>
          </w:p>
        </w:tc>
        <w:tc>
          <w:tcPr>
            <w:tcW w:type="dxa" w:w="1728"/>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月均到手现金</w:t>
            </w:r>
          </w:p>
        </w:tc>
        <w:tc>
          <w:tcPr>
            <w:tcW w:type="dxa" w:w="165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合租净结余</w:t>
            </w:r>
          </w:p>
        </w:tc>
        <w:tc>
          <w:tcPr>
            <w:tcW w:type="dxa" w:w="1800"/>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合租含公积金</w:t>
            </w:r>
          </w:p>
        </w:tc>
        <w:tc>
          <w:tcPr>
            <w:tcW w:type="dxa" w:w="165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整租净结余</w:t>
            </w:r>
          </w:p>
        </w:tc>
        <w:tc>
          <w:tcPr>
            <w:tcW w:type="dxa" w:w="1800"/>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整租含公积金</w:t>
            </w:r>
          </w:p>
        </w:tc>
      </w:tr>
      <w:tr>
        <w:trPr>
          <w:cantSplit/>
        </w:trPr>
        <w:tc>
          <w:tcPr>
            <w:tcW w:type="dxa" w:w="1512"/>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8,000 元</w:t>
            </w:r>
          </w:p>
        </w:tc>
        <w:tc>
          <w:tcPr>
            <w:tcW w:type="dxa" w:w="1728"/>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6,597.0 元</w:t>
            </w:r>
          </w:p>
        </w:tc>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2,691.1 元</w:t>
            </w:r>
          </w:p>
        </w:tc>
        <w:tc>
          <w:tcPr>
            <w:tcW w:type="dxa" w:w="1800"/>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3,251.1 元</w:t>
            </w:r>
          </w:p>
        </w:tc>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1,628.8 元</w:t>
            </w:r>
          </w:p>
        </w:tc>
        <w:tc>
          <w:tcPr>
            <w:tcW w:type="dxa" w:w="1800"/>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2,188.8 元</w:t>
            </w:r>
          </w:p>
        </w:tc>
      </w:tr>
      <w:tr>
        <w:trPr>
          <w:cantSplit/>
        </w:trPr>
        <w:tc>
          <w:tcPr>
            <w:tcW w:type="dxa" w:w="1512"/>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10,000 元</w:t>
            </w:r>
          </w:p>
        </w:tc>
        <w:tc>
          <w:tcPr>
            <w:tcW w:type="dxa" w:w="1728"/>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8,197.5 元</w:t>
            </w:r>
          </w:p>
        </w:tc>
        <w:tc>
          <w:tcPr>
            <w:tcW w:type="dxa" w:w="165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4,291.6 元</w:t>
            </w:r>
          </w:p>
        </w:tc>
        <w:tc>
          <w:tcPr>
            <w:tcW w:type="dxa" w:w="1800"/>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4,991.6 元</w:t>
            </w:r>
          </w:p>
        </w:tc>
        <w:tc>
          <w:tcPr>
            <w:tcW w:type="dxa" w:w="165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3,229.3 元</w:t>
            </w:r>
          </w:p>
        </w:tc>
        <w:tc>
          <w:tcPr>
            <w:tcW w:type="dxa" w:w="1800"/>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3,929.3 元</w:t>
            </w:r>
          </w:p>
        </w:tc>
      </w:tr>
      <w:tr>
        <w:trPr>
          <w:cantSplit/>
        </w:trPr>
        <w:tc>
          <w:tcPr>
            <w:tcW w:type="dxa" w:w="1512"/>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12,000 元</w:t>
            </w:r>
          </w:p>
        </w:tc>
        <w:tc>
          <w:tcPr>
            <w:tcW w:type="dxa" w:w="1728"/>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9,770.0 元</w:t>
            </w:r>
          </w:p>
        </w:tc>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5,864.1 元</w:t>
            </w:r>
          </w:p>
        </w:tc>
        <w:tc>
          <w:tcPr>
            <w:tcW w:type="dxa" w:w="1800"/>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6,704.1 元</w:t>
            </w:r>
          </w:p>
        </w:tc>
        <w:tc>
          <w:tcPr>
            <w:tcW w:type="dxa" w:w="165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4,801.8 元</w:t>
            </w:r>
          </w:p>
        </w:tc>
        <w:tc>
          <w:tcPr>
            <w:tcW w:type="dxa" w:w="1800"/>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5,641.8 元</w:t>
            </w:r>
          </w:p>
        </w:tc>
      </w:tr>
      <w:tr>
        <w:trPr>
          <w:cantSplit/>
        </w:trPr>
        <w:tc>
          <w:tcPr>
            <w:tcW w:type="dxa" w:w="1512"/>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15,000 元</w:t>
            </w:r>
          </w:p>
        </w:tc>
        <w:tc>
          <w:tcPr>
            <w:tcW w:type="dxa" w:w="1728"/>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11,997.5 元</w:t>
            </w:r>
          </w:p>
        </w:tc>
        <w:tc>
          <w:tcPr>
            <w:tcW w:type="dxa" w:w="165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8,091.6 元</w:t>
            </w:r>
          </w:p>
        </w:tc>
        <w:tc>
          <w:tcPr>
            <w:tcW w:type="dxa" w:w="1800"/>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9,141.6 元</w:t>
            </w:r>
          </w:p>
        </w:tc>
        <w:tc>
          <w:tcPr>
            <w:tcW w:type="dxa" w:w="165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7,029.3 元</w:t>
            </w:r>
          </w:p>
        </w:tc>
        <w:tc>
          <w:tcPr>
            <w:tcW w:type="dxa" w:w="1800"/>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8,079.3 元</w:t>
            </w:r>
          </w:p>
        </w:tc>
      </w:tr>
    </w:tbl>
    <w:p>
      <w:pPr>
        <w:spacing w:after="0"/>
      </w:pPr>
    </w:p>
    <w:p>
      <w:pPr>
        <w:spacing w:after="40"/>
        <w:jc w:val="center"/>
      </w:pPr>
      <w:r>
        <w:drawing>
          <wp:inline xmlns:a="http://schemas.openxmlformats.org/drawingml/2006/main" xmlns:pic="http://schemas.openxmlformats.org/drawingml/2006/picture">
            <wp:extent cx="5303520" cy="2592832"/>
            <wp:docPr id="2" name="Picture 2"/>
            <wp:cNvGraphicFramePr>
              <a:graphicFrameLocks noChangeAspect="1"/>
            </wp:cNvGraphicFramePr>
            <a:graphic>
              <a:graphicData uri="http://schemas.openxmlformats.org/drawingml/2006/picture">
                <pic:pic>
                  <pic:nvPicPr>
                    <pic:cNvPr id="0" name="cost_composition_10k.png"/>
                    <pic:cNvPicPr/>
                  </pic:nvPicPr>
                  <pic:blipFill>
                    <a:blip r:embed="rId12"/>
                    <a:stretch>
                      <a:fillRect/>
                    </a:stretch>
                  </pic:blipFill>
                  <pic:spPr>
                    <a:xfrm>
                      <a:off x="0" y="0"/>
                      <a:ext cx="5303520" cy="2592832"/>
                    </a:xfrm>
                    <a:prstGeom prst="rect"/>
                  </pic:spPr>
                </pic:pic>
              </a:graphicData>
            </a:graphic>
          </wp:inline>
        </w:drawing>
      </w:r>
    </w:p>
    <w:p>
      <w:pPr>
        <w:keepNext/>
        <w:spacing w:before="120" w:after="80"/>
      </w:pPr>
      <w:r>
        <w:rPr>
          <w:rFonts w:ascii="等线" w:hAnsi="等线" w:eastAsia="等线"/>
          <w:b/>
          <w:i w:val="0"/>
          <w:color w:val="4C4C4C"/>
          <w:sz w:val="18"/>
        </w:rPr>
        <w:t>图 2  10,000元压力薪资下的月度现金构成（元/月）</w:t>
      </w:r>
    </w:p>
    <w:p>
      <w:pPr>
        <w:keepNext/>
        <w:spacing w:before="120" w:after="80"/>
      </w:pPr>
      <w:r>
        <w:rPr>
          <w:rFonts w:ascii="等线" w:hAnsi="等线" w:eastAsia="等线"/>
          <w:b/>
          <w:i w:val="0"/>
          <w:color w:val="4C4C4C"/>
          <w:sz w:val="18"/>
        </w:rPr>
        <w:t>表 11  10,000元、12薪的餐饮和年发月数敏感性</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rPr>
          <w:tblHeader w:val="true"/>
          <w:cantSplit/>
        </w:trPr>
        <w:tc>
          <w:tcPr>
            <w:tcW w:type="dxa" w:w="1728"/>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情景</w:t>
            </w:r>
          </w:p>
        </w:tc>
        <w:tc>
          <w:tcPr>
            <w:tcW w:type="dxa" w:w="237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合租直租纯现金结余</w:t>
            </w:r>
          </w:p>
        </w:tc>
        <w:tc>
          <w:tcPr>
            <w:tcW w:type="dxa" w:w="237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整租直租纯现金结余</w:t>
            </w:r>
          </w:p>
        </w:tc>
        <w:tc>
          <w:tcPr>
            <w:tcW w:type="dxa" w:w="3384"/>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解释</w:t>
            </w:r>
          </w:p>
        </w:tc>
      </w:tr>
      <w:tr>
        <w:trPr>
          <w:cantSplit/>
        </w:trPr>
        <w:tc>
          <w:tcPr>
            <w:tcW w:type="dxa" w:w="172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餐饮1,500元</w:t>
            </w:r>
          </w:p>
        </w:tc>
        <w:tc>
          <w:tcPr>
            <w:tcW w:type="dxa" w:w="237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4,891.6 元</w:t>
            </w:r>
          </w:p>
        </w:tc>
        <w:tc>
          <w:tcPr>
            <w:tcW w:type="dxa" w:w="237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3,829.3 元</w:t>
            </w:r>
          </w:p>
        </w:tc>
        <w:tc>
          <w:tcPr>
            <w:tcW w:type="dxa" w:w="338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食堂、自炊和低价混合</w:t>
            </w:r>
          </w:p>
        </w:tc>
      </w:tr>
      <w:tr>
        <w:trPr>
          <w:cantSplit/>
        </w:trPr>
        <w:tc>
          <w:tcPr>
            <w:tcW w:type="dxa" w:w="172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餐饮2,100元</w:t>
            </w:r>
          </w:p>
        </w:tc>
        <w:tc>
          <w:tcPr>
            <w:tcW w:type="dxa" w:w="237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4,291.6 元</w:t>
            </w:r>
          </w:p>
        </w:tc>
        <w:tc>
          <w:tcPr>
            <w:tcW w:type="dxa" w:w="237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3,229.3 元</w:t>
            </w:r>
          </w:p>
        </w:tc>
        <w:tc>
          <w:tcPr>
            <w:tcW w:type="dxa" w:w="3384"/>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主情景</w:t>
            </w:r>
          </w:p>
        </w:tc>
      </w:tr>
      <w:tr>
        <w:trPr>
          <w:cantSplit/>
        </w:trPr>
        <w:tc>
          <w:tcPr>
            <w:tcW w:type="dxa" w:w="172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餐饮2,800元</w:t>
            </w:r>
          </w:p>
        </w:tc>
        <w:tc>
          <w:tcPr>
            <w:tcW w:type="dxa" w:w="237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3,591.6 元</w:t>
            </w:r>
          </w:p>
        </w:tc>
        <w:tc>
          <w:tcPr>
            <w:tcW w:type="dxa" w:w="237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2,529.3 元</w:t>
            </w:r>
          </w:p>
        </w:tc>
        <w:tc>
          <w:tcPr>
            <w:tcW w:type="dxa" w:w="338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外卖高频</w:t>
            </w:r>
          </w:p>
        </w:tc>
      </w:tr>
      <w:tr>
        <w:trPr>
          <w:cantSplit/>
        </w:trPr>
        <w:tc>
          <w:tcPr>
            <w:tcW w:type="dxa" w:w="172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12薪</w:t>
            </w:r>
          </w:p>
        </w:tc>
        <w:tc>
          <w:tcPr>
            <w:tcW w:type="dxa" w:w="237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4,291.6 元</w:t>
            </w:r>
          </w:p>
        </w:tc>
        <w:tc>
          <w:tcPr>
            <w:tcW w:type="dxa" w:w="237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3,229.3 元</w:t>
            </w:r>
          </w:p>
        </w:tc>
        <w:tc>
          <w:tcPr>
            <w:tcW w:type="dxa" w:w="3384"/>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月均到手8,197.5元</w:t>
            </w:r>
          </w:p>
        </w:tc>
      </w:tr>
      <w:tr>
        <w:trPr>
          <w:cantSplit/>
        </w:trPr>
        <w:tc>
          <w:tcPr>
            <w:tcW w:type="dxa" w:w="172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13薪</w:t>
            </w:r>
          </w:p>
        </w:tc>
        <w:tc>
          <w:tcPr>
            <w:tcW w:type="dxa" w:w="237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5,099.9 元</w:t>
            </w:r>
          </w:p>
        </w:tc>
        <w:tc>
          <w:tcPr>
            <w:tcW w:type="dxa" w:w="2376"/>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4,037.6 元</w:t>
            </w:r>
          </w:p>
        </w:tc>
        <w:tc>
          <w:tcPr>
            <w:tcW w:type="dxa" w:w="338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月均到手9,005.8元</w:t>
            </w:r>
          </w:p>
        </w:tc>
      </w:tr>
      <w:tr>
        <w:trPr>
          <w:cantSplit/>
        </w:trPr>
        <w:tc>
          <w:tcPr>
            <w:tcW w:type="dxa" w:w="172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16薪</w:t>
            </w:r>
          </w:p>
        </w:tc>
        <w:tc>
          <w:tcPr>
            <w:tcW w:type="dxa" w:w="237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7,379.1 元</w:t>
            </w:r>
          </w:p>
        </w:tc>
        <w:tc>
          <w:tcPr>
            <w:tcW w:type="dxa" w:w="2376"/>
            <w:shd w:fill="F5F8FA"/>
            <w:tcMar>
              <w:top w:w="90" w:type="dxa"/>
              <w:start w:w="110" w:type="dxa"/>
              <w:bottom w:w="90" w:type="dxa"/>
              <w:end w:w="110" w:type="dxa"/>
            </w:tcMar>
            <w:vAlign w:val="center"/>
          </w:tcPr>
          <w:p>
            <w:pPr>
              <w:spacing w:after="0" w:line="252" w:lineRule="auto"/>
              <w:jc w:val="right"/>
            </w:pPr>
            <w:r>
              <w:rPr>
                <w:rFonts w:ascii="等线" w:hAnsi="等线" w:eastAsia="等线"/>
                <w:b w:val="0"/>
                <w:i w:val="0"/>
                <w:color w:val="000000"/>
                <w:sz w:val="16"/>
              </w:rPr>
              <w:t>6,316.8 元</w:t>
            </w:r>
          </w:p>
        </w:tc>
        <w:tc>
          <w:tcPr>
            <w:tcW w:type="dxa" w:w="3384"/>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月均到手11,285.0元</w:t>
            </w:r>
          </w:p>
        </w:tc>
      </w:tr>
    </w:tbl>
    <w:p>
      <w:pPr>
        <w:spacing w:after="0"/>
      </w:pPr>
    </w:p>
    <w:p>
      <w:pPr>
        <w:spacing w:after="100" w:line="300" w:lineRule="auto"/>
      </w:pPr>
      <w:r>
        <w:rPr>
          <w:rFonts w:ascii="等线" w:hAnsi="等线" w:eastAsia="等线"/>
          <w:b w:val="0"/>
          <w:i w:val="0"/>
          <w:color w:val="000000"/>
          <w:sz w:val="21"/>
        </w:rPr>
        <w:t>公积金5%与7%的敏感性应同时看现金和积累。10,000元税前时，个人公积金从700元降到500元，会提高月现金，但计税和到手变化的综合效应只有约百元级；在本模型下，7%情景的含公积金净结余仍略高。实际企业是否缴补充公积金、是否按固定工资或全薪缴存，必须以工资单和书面offer为准。</w:t>
      </w:r>
    </w:p>
    <w:p>
      <w:pPr>
        <w:pStyle w:val="Heading1"/>
        <w:keepNext/>
      </w:pPr>
      <w:r>
        <w:rPr>
          <w:rFonts w:ascii="等线" w:hAnsi="等线" w:eastAsia="等线"/>
          <w:b/>
          <w:i w:val="0"/>
          <w:color w:val="000000"/>
          <w:sz w:val="36"/>
        </w:rPr>
        <w:t>九 决策建议与核验清单</w:t>
      </w:r>
    </w:p>
    <w:p>
      <w:pPr>
        <w:spacing w:after="100" w:line="300" w:lineRule="auto"/>
      </w:pPr>
      <w:r>
        <w:rPr>
          <w:rFonts w:ascii="等线" w:hAnsi="等线" w:eastAsia="等线"/>
          <w:b w:val="0"/>
          <w:i w:val="0"/>
          <w:color w:val="000000"/>
          <w:sz w:val="21"/>
        </w:rPr>
        <w:t>如果以控制首月现金和月固定成本为先，合租直租是最稳妥的模型基准：10,000元税前时，月纯现金净结余约4,292元，首月最低现金约5,106元。押一付三且中介费0.35月会把首月门槛提高到8,361元，因此签约条款的影响可能大于每月多100元房租的影响。</w:t>
      </w:r>
    </w:p>
    <w:p>
      <w:pPr>
        <w:spacing w:after="100" w:line="300" w:lineRule="auto"/>
      </w:pPr>
      <w:r>
        <w:rPr>
          <w:rFonts w:ascii="等线" w:hAnsi="等线" w:eastAsia="等线"/>
          <w:b w:val="0"/>
          <w:i w:val="0"/>
          <w:color w:val="000000"/>
          <w:sz w:val="21"/>
        </w:rPr>
        <w:t>如果要求独立整租，建议把10,000元作为最低压力测试线而不是工资预测。该情景月纯现金结余约3,229元，首月最低现金约7,168元；若实际薪资只有8,000元，整租直租净结余约1,629元，任何一次搬家、医疗或大额支出都可能耗尽缓冲。</w:t>
      </w:r>
    </w:p>
    <w:p>
      <w:pPr>
        <w:spacing w:after="100" w:line="300" w:lineRule="auto"/>
      </w:pPr>
      <w:r>
        <w:rPr>
          <w:rFonts w:ascii="等线" w:hAnsi="等线" w:eastAsia="等线"/>
          <w:b w:val="0"/>
          <w:i w:val="0"/>
          <w:color w:val="000000"/>
          <w:sz w:val="21"/>
        </w:rPr>
        <w:t>岗位选择上，当前6条核心样本可继续投递和面试，但没有任何一条能通过“明确薪资、双休、不出差”三项硬筛。最关键的下一步不是等待网站标签自动出现，而是在初筛阶段获得可追溯的书面确认；口头说“基本不出差”不能写成不出差。</w:t>
      </w:r>
    </w:p>
    <w:p>
      <w:pPr>
        <w:keepNext/>
        <w:spacing w:before="120" w:after="80"/>
      </w:pPr>
      <w:r>
        <w:rPr>
          <w:rFonts w:ascii="等线" w:hAnsi="等线" w:eastAsia="等线"/>
          <w:b/>
          <w:i w:val="0"/>
          <w:color w:val="4C4C4C"/>
          <w:sz w:val="18"/>
        </w:rPr>
        <w:t>表 12  面试与签约核验清单</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5040"/>
        <w:gridCol w:w="5040"/>
      </w:tblGrid>
      <w:tr>
        <w:trPr>
          <w:tblHeader w:val="true"/>
          <w:cantSplit/>
        </w:trPr>
        <w:tc>
          <w:tcPr>
            <w:tcW w:type="dxa" w:w="223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核验项</w:t>
            </w:r>
          </w:p>
        </w:tc>
        <w:tc>
          <w:tcPr>
            <w:tcW w:type="dxa" w:w="7200"/>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6"/>
              </w:rPr>
              <w:t>必须问清并留痕的内容</w:t>
            </w:r>
          </w:p>
        </w:tc>
      </w:tr>
      <w:tr>
        <w:trPr>
          <w:cantSplit/>
        </w:trPr>
        <w:tc>
          <w:tcPr>
            <w:tcW w:type="dxa" w:w="223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固定与浮动薪资</w:t>
            </w:r>
          </w:p>
        </w:tc>
        <w:tc>
          <w:tcPr>
            <w:tcW w:type="dxa" w:w="720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税前固定月薪、绩效比例、13/16薪是否保证、发放条件</w:t>
            </w:r>
          </w:p>
        </w:tc>
      </w:tr>
      <w:tr>
        <w:trPr>
          <w:cantSplit/>
        </w:trPr>
        <w:tc>
          <w:tcPr>
            <w:tcW w:type="dxa" w:w="223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社保公积金</w:t>
            </w:r>
          </w:p>
        </w:tc>
        <w:tc>
          <w:tcPr>
            <w:tcW w:type="dxa" w:w="720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缴费基数是否为全薪、公积金比例、是否补充公积金</w:t>
            </w:r>
          </w:p>
        </w:tc>
      </w:tr>
      <w:tr>
        <w:trPr>
          <w:cantSplit/>
        </w:trPr>
        <w:tc>
          <w:tcPr>
            <w:tcW w:type="dxa" w:w="223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工作制度</w:t>
            </w:r>
          </w:p>
        </w:tc>
        <w:tc>
          <w:tcPr>
            <w:tcW w:type="dxa" w:w="720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标准工时或轮班、每月夜班数、周末值班频率</w:t>
            </w:r>
          </w:p>
        </w:tc>
      </w:tr>
      <w:tr>
        <w:trPr>
          <w:cantSplit/>
        </w:trPr>
        <w:tc>
          <w:tcPr>
            <w:tcW w:type="dxa" w:w="223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双休</w:t>
            </w:r>
          </w:p>
        </w:tc>
        <w:tc>
          <w:tcPr>
            <w:tcW w:type="dxa" w:w="720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是否固定周六日休息；轮班制下如何计算双休</w:t>
            </w:r>
          </w:p>
        </w:tc>
      </w:tr>
      <w:tr>
        <w:trPr>
          <w:cantSplit/>
        </w:trPr>
        <w:tc>
          <w:tcPr>
            <w:tcW w:type="dxa" w:w="223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出差与驻场</w:t>
            </w:r>
          </w:p>
        </w:tc>
        <w:tc>
          <w:tcPr>
            <w:tcW w:type="dxa" w:w="720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年度出差次数、单次时长、现场调试、紧急到场和值班要求</w:t>
            </w:r>
          </w:p>
        </w:tc>
      </w:tr>
      <w:tr>
        <w:trPr>
          <w:cantSplit/>
        </w:trPr>
        <w:tc>
          <w:tcPr>
            <w:tcW w:type="dxa" w:w="223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宿舍与补贴</w:t>
            </w:r>
          </w:p>
        </w:tc>
        <w:tc>
          <w:tcPr>
            <w:tcW w:type="dxa" w:w="720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是否包住、宿舍条件与扣费；住房补贴的资格和发放方式</w:t>
            </w:r>
          </w:p>
        </w:tc>
      </w:tr>
      <w:tr>
        <w:trPr>
          <w:cantSplit/>
        </w:trPr>
        <w:tc>
          <w:tcPr>
            <w:tcW w:type="dxa" w:w="223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试用期</w:t>
            </w:r>
          </w:p>
        </w:tc>
        <w:tc>
          <w:tcPr>
            <w:tcW w:type="dxa" w:w="720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工资比例、社保是否正常缴、转正条件</w:t>
            </w:r>
          </w:p>
        </w:tc>
      </w:tr>
      <w:tr>
        <w:trPr>
          <w:cantSplit/>
        </w:trPr>
        <w:tc>
          <w:tcPr>
            <w:tcW w:type="dxa" w:w="223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通勤</w:t>
            </w:r>
          </w:p>
        </w:tc>
        <w:tc>
          <w:tcPr>
            <w:tcW w:type="dxa" w:w="720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具体工作地址、班车线路、首末班时间、极端天气方案</w:t>
            </w:r>
          </w:p>
        </w:tc>
      </w:tr>
      <w:tr>
        <w:trPr>
          <w:cantSplit/>
        </w:trPr>
        <w:tc>
          <w:tcPr>
            <w:tcW w:type="dxa" w:w="223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租房合同</w:t>
            </w:r>
          </w:p>
        </w:tc>
        <w:tc>
          <w:tcPr>
            <w:tcW w:type="dxa" w:w="720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押付、中介费、月度服务费、一次性服务费、维修责任</w:t>
            </w:r>
          </w:p>
        </w:tc>
      </w:tr>
      <w:tr>
        <w:trPr>
          <w:cantSplit/>
        </w:trPr>
        <w:tc>
          <w:tcPr>
            <w:tcW w:type="dxa" w:w="223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水电燃气网</w:t>
            </w:r>
          </w:p>
        </w:tc>
        <w:tc>
          <w:tcPr>
            <w:tcW w:type="dxa" w:w="720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民用或商用价格、是否包含在租金、抄表和分摊方式</w:t>
            </w:r>
          </w:p>
        </w:tc>
      </w:tr>
      <w:tr>
        <w:trPr>
          <w:cantSplit/>
        </w:trPr>
        <w:tc>
          <w:tcPr>
            <w:tcW w:type="dxa" w:w="223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搬迁与家具</w:t>
            </w:r>
          </w:p>
        </w:tc>
        <w:tc>
          <w:tcPr>
            <w:tcW w:type="dxa" w:w="7200"/>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床品、厨具、网络安装、保洁、家电大修由谁承担</w:t>
            </w:r>
          </w:p>
        </w:tc>
      </w:tr>
      <w:tr>
        <w:trPr>
          <w:cantSplit/>
        </w:trPr>
        <w:tc>
          <w:tcPr>
            <w:tcW w:type="dxa" w:w="223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人才公寓与补贴</w:t>
            </w:r>
          </w:p>
        </w:tc>
        <w:tc>
          <w:tcPr>
            <w:tcW w:type="dxa" w:w="7200"/>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6"/>
              </w:rPr>
              <w:t>资格、单位清单、空房、租期、续租和退租规则</w:t>
            </w:r>
          </w:p>
        </w:tc>
      </w:tr>
    </w:tbl>
    <w:p>
      <w:pPr>
        <w:spacing w:after="0"/>
      </w:pPr>
    </w:p>
    <w:p>
      <w:pPr>
        <w:pStyle w:val="Heading1"/>
        <w:keepNext/>
      </w:pPr>
      <w:r>
        <w:rPr>
          <w:rFonts w:ascii="等线" w:hAnsi="等线" w:eastAsia="等线"/>
          <w:b/>
          <w:i w:val="0"/>
          <w:color w:val="000000"/>
          <w:sz w:val="36"/>
        </w:rPr>
        <w:t>十 限制、风险与结论变化条件</w:t>
      </w:r>
    </w:p>
    <w:p>
      <w:pPr>
        <w:pStyle w:val="ListBullet"/>
        <w:spacing w:after="40" w:line="276" w:lineRule="auto"/>
        <w:ind w:left="360" w:hanging="173"/>
      </w:pPr>
      <w:r>
        <w:rPr>
          <w:rFonts w:ascii="等线" w:hAnsi="等线" w:eastAsia="等线"/>
          <w:b w:val="0"/>
          <w:i w:val="0"/>
          <w:color w:val="000000"/>
          <w:sz w:val="20"/>
        </w:rPr>
        <w:t>BOSS直聘专用浏览器最终显示登录页，本轮未能取得可用的授权会话；未绕过验证码、未保存Cookie或账号信息。覆盖缺口会降低对整租和岗位条件的交叉验证。</w:t>
      </w:r>
    </w:p>
    <w:p>
      <w:pPr>
        <w:pStyle w:val="ListBullet"/>
        <w:spacing w:after="40" w:line="276" w:lineRule="auto"/>
        <w:ind w:left="360" w:hanging="173"/>
      </w:pPr>
      <w:r>
        <w:rPr>
          <w:rFonts w:ascii="等线" w:hAnsi="等线" w:eastAsia="等线"/>
          <w:b w:val="0"/>
          <w:i w:val="0"/>
          <w:color w:val="000000"/>
          <w:sz w:val="20"/>
        </w:rPr>
        <w:t>2027核心岗位只有6条、3家企业，且4条来自同一企业；这是观察样本，不是市场总体。薪资为0条公开值，不能计算中位数、四分位或确定性排名。</w:t>
      </w:r>
    </w:p>
    <w:p>
      <w:pPr>
        <w:pStyle w:val="ListBullet"/>
        <w:spacing w:after="40" w:line="276" w:lineRule="auto"/>
        <w:ind w:left="360" w:hanging="173"/>
      </w:pPr>
      <w:r>
        <w:rPr>
          <w:rFonts w:ascii="等线" w:hAnsi="等线" w:eastAsia="等线"/>
          <w:b w:val="0"/>
          <w:i w:val="0"/>
          <w:color w:val="000000"/>
          <w:sz w:val="20"/>
        </w:rPr>
        <w:t>房租平台均价是页面展示，不是成交价；具体房源多为2025年历史挂牌。当前实际可租房、议价、面积、维修和真实费用需要重新核验。</w:t>
      </w:r>
    </w:p>
    <w:p>
      <w:pPr>
        <w:pStyle w:val="ListBullet"/>
        <w:spacing w:after="40" w:line="276" w:lineRule="auto"/>
        <w:ind w:left="360" w:hanging="173"/>
      </w:pPr>
      <w:r>
        <w:rPr>
          <w:rFonts w:ascii="等线" w:hAnsi="等线" w:eastAsia="等线"/>
          <w:b w:val="0"/>
          <w:i w:val="0"/>
          <w:color w:val="000000"/>
          <w:sz w:val="20"/>
        </w:rPr>
        <w:t>餐饮、网络、水电用量、通勤和其他固定支出是透明模型，不是个人账单。个人是否能拿人才公寓、青年补贴、公司宿舍或家庭支持，会显著改变首月现金。</w:t>
      </w:r>
    </w:p>
    <w:p>
      <w:pPr>
        <w:pStyle w:val="ListBullet"/>
        <w:spacing w:after="40" w:line="276" w:lineRule="auto"/>
        <w:ind w:left="360" w:hanging="173"/>
      </w:pPr>
      <w:r>
        <w:rPr>
          <w:rFonts w:ascii="等线" w:hAnsi="等线" w:eastAsia="等线"/>
          <w:b w:val="0"/>
          <w:i w:val="0"/>
          <w:color w:val="000000"/>
          <w:sz w:val="20"/>
        </w:rPr>
        <w:t>“临港心片区”已按滴湖水湖南汇新城核心区操作，不能把泥城、书院等更广范围的公司自动当作同一边界。具体公司厂址应在地图和班车路线上复核。</w:t>
      </w:r>
    </w:p>
    <w:p>
      <w:pPr>
        <w:spacing w:after="100" w:line="300" w:lineRule="auto"/>
      </w:pPr>
      <w:r>
        <w:rPr>
          <w:rFonts w:ascii="等线" w:hAnsi="等线" w:eastAsia="等线"/>
          <w:b w:val="0"/>
          <w:i w:val="0"/>
          <w:color w:val="000000"/>
          <w:sz w:val="21"/>
        </w:rPr>
        <w:t>以下任一条件出现，主要结论应重算：获得2027届本科目标岗的书面固定月薪或13/16薪；岗位明确双休或出差制度与原假设不同；公司提供免费宿舍或稳定住房补贴；实际合租低于1,000元或整租高于2,500元；通勤需要跨区或打车；餐饮和固定支出明显超过2,100元和300元。</w:t>
      </w:r>
    </w:p>
    <w:p>
      <w:r>
        <w:br w:type="page"/>
      </w:r>
    </w:p>
    <w:p>
      <w:pPr>
        <w:pStyle w:val="Heading1"/>
        <w:keepNext/>
      </w:pPr>
      <w:r>
        <w:rPr>
          <w:rFonts w:ascii="等线" w:hAnsi="等线" w:eastAsia="等线"/>
          <w:b/>
          <w:i w:val="0"/>
          <w:color w:val="000000"/>
          <w:sz w:val="36"/>
        </w:rPr>
        <w:t>附录一 主要来源与证据</w:t>
      </w:r>
    </w:p>
    <w:p>
      <w:pPr>
        <w:keepNext/>
        <w:spacing w:before="120" w:after="80"/>
      </w:pPr>
      <w:r>
        <w:rPr>
          <w:rFonts w:ascii="等线" w:hAnsi="等线" w:eastAsia="等线"/>
          <w:b/>
          <w:i w:val="0"/>
          <w:color w:val="4C4C4C"/>
          <w:sz w:val="18"/>
        </w:rPr>
        <w:t>表 13  关键来源台账摘要</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520"/>
        <w:gridCol w:w="2520"/>
        <w:gridCol w:w="2520"/>
        <w:gridCol w:w="2520"/>
      </w:tblGrid>
      <w:tr>
        <w:trPr>
          <w:tblHeader w:val="true"/>
          <w:cantSplit/>
        </w:trPr>
        <w:tc>
          <w:tcPr>
            <w:tcW w:type="dxa" w:w="3528"/>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4"/>
              </w:rPr>
              <w:t>来源</w:t>
            </w:r>
          </w:p>
        </w:tc>
        <w:tc>
          <w:tcPr>
            <w:tcW w:type="dxa" w:w="115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4"/>
              </w:rPr>
              <w:t>发布日</w:t>
            </w:r>
          </w:p>
        </w:tc>
        <w:tc>
          <w:tcPr>
            <w:tcW w:type="dxa" w:w="648"/>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4"/>
              </w:rPr>
              <w:t>级别</w:t>
            </w:r>
          </w:p>
        </w:tc>
        <w:tc>
          <w:tcPr>
            <w:tcW w:type="dxa" w:w="4176"/>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4"/>
              </w:rPr>
              <w:t>用于本报告的范围</w:t>
            </w:r>
          </w:p>
        </w:tc>
      </w:tr>
      <w:tr>
        <w:trPr>
          <w:cantSplit/>
        </w:trPr>
        <w:tc>
          <w:tcPr>
            <w:tcW w:type="dxa" w:w="352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上海市人力资源和社会保障局：2026年度社保缴费基数</w:t>
            </w:r>
          </w:p>
        </w:tc>
        <w:tc>
          <w:tcPr>
            <w:tcW w:type="dxa" w:w="115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2026-08-18</w:t>
            </w:r>
          </w:p>
        </w:tc>
        <w:tc>
          <w:tcPr>
            <w:tcW w:type="dxa" w:w="648"/>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A</w:t>
            </w:r>
          </w:p>
        </w:tc>
        <w:tc>
          <w:tcPr>
            <w:tcW w:type="dxa" w:w="417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上海；2026-07-01起；月缴费基数下限7546元、上限37731元</w:t>
            </w:r>
          </w:p>
        </w:tc>
      </w:tr>
      <w:tr>
        <w:trPr>
          <w:cantSplit/>
        </w:trPr>
        <w:tc>
          <w:tcPr>
            <w:tcW w:type="dxa" w:w="352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上海市人力资源和社会保障局：员工个人社保缴费比例</w:t>
            </w:r>
          </w:p>
        </w:tc>
        <w:tc>
          <w:tcPr>
            <w:tcW w:type="dxa" w:w="115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2024-04-16</w:t>
            </w:r>
          </w:p>
        </w:tc>
        <w:tc>
          <w:tcPr>
            <w:tcW w:type="dxa" w:w="648"/>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A</w:t>
            </w:r>
          </w:p>
        </w:tc>
        <w:tc>
          <w:tcPr>
            <w:tcW w:type="dxa" w:w="417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上海；个人养老8%、医疗2%、失业0.5%，合计10.5%</w:t>
            </w:r>
          </w:p>
        </w:tc>
      </w:tr>
      <w:tr>
        <w:trPr>
          <w:cantSplit/>
        </w:trPr>
        <w:tc>
          <w:tcPr>
            <w:tcW w:type="dxa" w:w="352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上海市公积金管理中心：2026年度缴存基数与比例</w:t>
            </w:r>
          </w:p>
        </w:tc>
        <w:tc>
          <w:tcPr>
            <w:tcW w:type="dxa" w:w="115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2026-08-19</w:t>
            </w:r>
          </w:p>
        </w:tc>
        <w:tc>
          <w:tcPr>
            <w:tcW w:type="dxa" w:w="648"/>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A</w:t>
            </w:r>
          </w:p>
        </w:tc>
        <w:tc>
          <w:tcPr>
            <w:tcW w:type="dxa" w:w="417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上海；2026-07至2027-06；单位和个人主公积金各5%-7%</w:t>
            </w:r>
          </w:p>
        </w:tc>
      </w:tr>
      <w:tr>
        <w:trPr>
          <w:cantSplit/>
        </w:trPr>
        <w:tc>
          <w:tcPr>
            <w:tcW w:type="dxa" w:w="352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国家税务总局上海市税务局：住房租金专项附加扣除</w:t>
            </w:r>
          </w:p>
        </w:tc>
        <w:tc>
          <w:tcPr>
            <w:tcW w:type="dxa" w:w="115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2026-03-10</w:t>
            </w:r>
          </w:p>
        </w:tc>
        <w:tc>
          <w:tcPr>
            <w:tcW w:type="dxa" w:w="648"/>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A</w:t>
            </w:r>
          </w:p>
        </w:tc>
        <w:tc>
          <w:tcPr>
            <w:tcW w:type="dxa" w:w="417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上海符合条件住房租金专项附加扣除1500元/月</w:t>
            </w:r>
          </w:p>
        </w:tc>
      </w:tr>
      <w:tr>
        <w:trPr>
          <w:cantSplit/>
        </w:trPr>
        <w:tc>
          <w:tcPr>
            <w:tcW w:type="dxa" w:w="352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中国居民综合所得年度税率表</w:t>
            </w:r>
          </w:p>
        </w:tc>
        <w:tc>
          <w:tcPr>
            <w:tcW w:type="dxa" w:w="115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2018-12-27</w:t>
            </w:r>
          </w:p>
        </w:tc>
        <w:tc>
          <w:tcPr>
            <w:tcW w:type="dxa" w:w="648"/>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A</w:t>
            </w:r>
          </w:p>
        </w:tc>
        <w:tc>
          <w:tcPr>
            <w:tcW w:type="dxa" w:w="417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居民综合所得；年基本减除费用60000元及七级超额累进税率</w:t>
            </w:r>
          </w:p>
        </w:tc>
      </w:tr>
      <w:tr>
        <w:trPr>
          <w:cantSplit/>
        </w:trPr>
        <w:tc>
          <w:tcPr>
            <w:tcW w:type="dxa" w:w="352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2026年上海市市民价格信息指南（上观新闻转载页及扫描页）</w:t>
            </w:r>
          </w:p>
        </w:tc>
        <w:tc>
          <w:tcPr>
            <w:tcW w:type="dxa" w:w="115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2026-01-14</w:t>
            </w:r>
          </w:p>
        </w:tc>
        <w:tc>
          <w:tcPr>
            <w:tcW w:type="dxa" w:w="648"/>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A</w:t>
            </w:r>
          </w:p>
        </w:tc>
        <w:tc>
          <w:tcPr>
            <w:tcW w:type="dxa" w:w="417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上海居民水、电、燃气和公共交通价格</w:t>
            </w:r>
          </w:p>
        </w:tc>
      </w:tr>
      <w:tr>
        <w:trPr>
          <w:cantSplit/>
        </w:trPr>
        <w:tc>
          <w:tcPr>
            <w:tcW w:type="dxa" w:w="352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上海市统计局：2025年居民人均可支配收入和消费支出</w:t>
            </w:r>
          </w:p>
        </w:tc>
        <w:tc>
          <w:tcPr>
            <w:tcW w:type="dxa" w:w="115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2026-01-20</w:t>
            </w:r>
          </w:p>
        </w:tc>
        <w:tc>
          <w:tcPr>
            <w:tcW w:type="dxa" w:w="648"/>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A</w:t>
            </w:r>
          </w:p>
        </w:tc>
        <w:tc>
          <w:tcPr>
            <w:tcW w:type="dxa" w:w="417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上海2025年全体居民和城镇常住居民人均口径</w:t>
            </w:r>
          </w:p>
        </w:tc>
      </w:tr>
      <w:tr>
        <w:trPr>
          <w:cantSplit/>
        </w:trPr>
        <w:tc>
          <w:tcPr>
            <w:tcW w:type="dxa" w:w="352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临港新片区国际人才港：主城区人才公寓</w:t>
            </w:r>
          </w:p>
        </w:tc>
        <w:tc>
          <w:tcPr>
            <w:tcW w:type="dxa" w:w="115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2024-04-12</w:t>
            </w:r>
          </w:p>
        </w:tc>
        <w:tc>
          <w:tcPr>
            <w:tcW w:type="dxa" w:w="648"/>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A</w:t>
            </w:r>
          </w:p>
        </w:tc>
        <w:tc>
          <w:tcPr>
            <w:tcW w:type="dxa" w:w="417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主城区人才公寓；一居31.27-53.25㎡约1000-1800元/月</w:t>
            </w:r>
          </w:p>
        </w:tc>
      </w:tr>
      <w:tr>
        <w:trPr>
          <w:cantSplit/>
        </w:trPr>
        <w:tc>
          <w:tcPr>
            <w:tcW w:type="dxa" w:w="352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安居客临港新城租房价格页</w:t>
            </w:r>
          </w:p>
        </w:tc>
        <w:tc>
          <w:tcPr>
            <w:tcW w:type="dxa" w:w="115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2026-10-26</w:t>
            </w:r>
          </w:p>
        </w:tc>
        <w:tc>
          <w:tcPr>
            <w:tcW w:type="dxa" w:w="648"/>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C</w:t>
            </w:r>
          </w:p>
        </w:tc>
        <w:tc>
          <w:tcPr>
            <w:tcW w:type="dxa" w:w="417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临港新城；页面显示一室今日均价2200元/月及少量示例房源</w:t>
            </w:r>
          </w:p>
        </w:tc>
      </w:tr>
      <w:tr>
        <w:trPr>
          <w:cantSplit/>
        </w:trPr>
        <w:tc>
          <w:tcPr>
            <w:tcW w:type="dxa" w:w="352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58同城合租挂牌：保利蔚蓝林语</w:t>
            </w:r>
          </w:p>
        </w:tc>
        <w:tc>
          <w:tcPr>
            <w:tcW w:type="dxa" w:w="115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2025-06-03</w:t>
            </w:r>
          </w:p>
        </w:tc>
        <w:tc>
          <w:tcPr>
            <w:tcW w:type="dxa" w:w="648"/>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C</w:t>
            </w:r>
          </w:p>
        </w:tc>
        <w:tc>
          <w:tcPr>
            <w:tcW w:type="dxa" w:w="417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临港；合租单间、独立卫浴；1100元/月</w:t>
            </w:r>
          </w:p>
        </w:tc>
      </w:tr>
      <w:tr>
        <w:trPr>
          <w:cantSplit/>
        </w:trPr>
        <w:tc>
          <w:tcPr>
            <w:tcW w:type="dxa" w:w="352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智联招聘校园页：中芯国际临港2027岗位</w:t>
            </w:r>
          </w:p>
        </w:tc>
        <w:tc>
          <w:tcPr>
            <w:tcW w:type="dxa" w:w="115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2026-09-14</w:t>
            </w:r>
          </w:p>
        </w:tc>
        <w:tc>
          <w:tcPr>
            <w:tcW w:type="dxa" w:w="648"/>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C</w:t>
            </w:r>
          </w:p>
        </w:tc>
        <w:tc>
          <w:tcPr>
            <w:tcW w:type="dxa" w:w="417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中芯国际设备、封装设备、自动化算法、封装生产运筹等2027岗位</w:t>
            </w:r>
          </w:p>
        </w:tc>
      </w:tr>
      <w:tr>
        <w:trPr>
          <w:cantSplit/>
        </w:trPr>
        <w:tc>
          <w:tcPr>
            <w:tcW w:type="dxa" w:w="352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应届生求职网转载前程无忧：艾为设备工程师-临港-2027届</w:t>
            </w:r>
          </w:p>
        </w:tc>
        <w:tc>
          <w:tcPr>
            <w:tcW w:type="dxa" w:w="1152"/>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2026-08-20</w:t>
            </w:r>
          </w:p>
        </w:tc>
        <w:tc>
          <w:tcPr>
            <w:tcW w:type="dxa" w:w="648"/>
            <w:shd w:fill="F5F8FA"/>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C</w:t>
            </w:r>
          </w:p>
        </w:tc>
        <w:tc>
          <w:tcPr>
            <w:tcW w:type="dxa" w:w="4176"/>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本科及以上；电子工程相关；临港；设备维修、调试与测试平台异常处理；未列薪资</w:t>
            </w:r>
          </w:p>
        </w:tc>
      </w:tr>
      <w:tr>
        <w:trPr>
          <w:cantSplit/>
        </w:trPr>
        <w:tc>
          <w:tcPr>
            <w:tcW w:type="dxa" w:w="352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应届生求职网转载前程无忧：延锋彼欧2027工程设备</w:t>
            </w:r>
          </w:p>
        </w:tc>
        <w:tc>
          <w:tcPr>
            <w:tcW w:type="dxa" w:w="1152"/>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2026-09-18</w:t>
            </w:r>
          </w:p>
        </w:tc>
        <w:tc>
          <w:tcPr>
            <w:tcW w:type="dxa" w:w="648"/>
            <w:tcMar>
              <w:top w:w="90" w:type="dxa"/>
              <w:start w:w="110" w:type="dxa"/>
              <w:bottom w:w="90" w:type="dxa"/>
              <w:end w:w="110" w:type="dxa"/>
            </w:tcMar>
            <w:vAlign w:val="center"/>
          </w:tcPr>
          <w:p>
            <w:pPr>
              <w:spacing w:after="0" w:line="252" w:lineRule="auto"/>
              <w:jc w:val="center"/>
            </w:pPr>
            <w:r>
              <w:rPr>
                <w:rFonts w:ascii="等线" w:hAnsi="等线" w:eastAsia="等线"/>
                <w:b w:val="0"/>
                <w:i w:val="0"/>
                <w:color w:val="000000"/>
                <w:sz w:val="14"/>
              </w:rPr>
              <w:t>C</w:t>
            </w:r>
          </w:p>
        </w:tc>
        <w:tc>
          <w:tcPr>
            <w:tcW w:type="dxa" w:w="4176"/>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4"/>
              </w:rPr>
              <w:t>临港公司；2027本科及以上；机械、电气自动化等优先；设备安装与改造</w:t>
            </w:r>
          </w:p>
        </w:tc>
      </w:tr>
    </w:tbl>
    <w:p>
      <w:pPr>
        <w:spacing w:after="0"/>
      </w:pPr>
    </w:p>
    <w:p>
      <w:pPr>
        <w:spacing w:after="100" w:line="300" w:lineRule="auto"/>
      </w:pPr>
      <w:r>
        <w:rPr>
          <w:rFonts w:ascii="等线" w:hAnsi="等线" w:eastAsia="等线"/>
          <w:b w:val="0"/>
          <w:i w:val="0"/>
          <w:color w:val="000000"/>
          <w:sz w:val="21"/>
        </w:rPr>
        <w:t>下列链接为来源入口。链接可打开不代表平台当前页面仍保持原内容；本报告以数据截止日和本地原始文件为准。</w:t>
      </w:r>
    </w:p>
    <w:p>
      <w:pPr>
        <w:spacing w:after="60" w:line="252" w:lineRule="auto"/>
      </w:pPr>
      <w:r>
        <w:rPr>
          <w:rFonts w:ascii="等线" w:hAnsi="等线" w:eastAsia="等线"/>
          <w:b w:val="0"/>
          <w:i w:val="0"/>
          <w:color w:val="4C4C4C"/>
          <w:sz w:val="16"/>
        </w:rPr>
        <w:t xml:space="preserve">上海市人力资源和社会保障局：2026年度社保缴费基数  </w:t>
      </w:r>
      <w:hyperlink r:id="rId13">
        <w:r>
          <w:rPr>
            <w:color w:val="1F4E78"/>
            <w:u w:val="single"/>
            <w:rFonts w:eastAsia="等线"/>
            <w:sz w:val="14"/>
          </w:rPr>
          <w:t>https://rsj.sh.gov.cn/tgsgg_17341/20260818/t0035_1443203.html</w:t>
        </w:r>
      </w:hyperlink>
    </w:p>
    <w:p>
      <w:pPr>
        <w:spacing w:after="60" w:line="252" w:lineRule="auto"/>
      </w:pPr>
      <w:r>
        <w:rPr>
          <w:rFonts w:ascii="等线" w:hAnsi="等线" w:eastAsia="等线"/>
          <w:b w:val="0"/>
          <w:i w:val="0"/>
          <w:color w:val="4C4C4C"/>
          <w:sz w:val="16"/>
        </w:rPr>
        <w:t xml:space="preserve">上海市人力资源和社会保障局：员工个人社保缴费比例  </w:t>
      </w:r>
      <w:hyperlink r:id="rId14">
        <w:r>
          <w:rPr>
            <w:color w:val="1F4E78"/>
            <w:u w:val="single"/>
            <w:rFonts w:eastAsia="等线"/>
            <w:sz w:val="14"/>
          </w:rPr>
          <w:t>https://rsj.sh.gov.cn/tmsztc_17502/20240416/t0035_1423583.html</w:t>
        </w:r>
      </w:hyperlink>
    </w:p>
    <w:p>
      <w:pPr>
        <w:spacing w:after="60" w:line="252" w:lineRule="auto"/>
      </w:pPr>
      <w:r>
        <w:rPr>
          <w:rFonts w:ascii="等线" w:hAnsi="等线" w:eastAsia="等线"/>
          <w:b w:val="0"/>
          <w:i w:val="0"/>
          <w:color w:val="4C4C4C"/>
          <w:sz w:val="16"/>
        </w:rPr>
        <w:t xml:space="preserve">上海市公积金管理中心：2026年度缴存基数与比例  </w:t>
      </w:r>
      <w:hyperlink r:id="rId15">
        <w:r>
          <w:rPr>
            <w:color w:val="1F4E78"/>
            <w:u w:val="single"/>
            <w:rFonts w:eastAsia="等线"/>
            <w:sz w:val="14"/>
          </w:rPr>
          <w:t>https://www.shzfgjj.cn/html/twzl/228488.html</w:t>
        </w:r>
      </w:hyperlink>
    </w:p>
    <w:p>
      <w:pPr>
        <w:spacing w:after="60" w:line="252" w:lineRule="auto"/>
      </w:pPr>
      <w:r>
        <w:rPr>
          <w:rFonts w:ascii="等线" w:hAnsi="等线" w:eastAsia="等线"/>
          <w:b w:val="0"/>
          <w:i w:val="0"/>
          <w:color w:val="4C4C4C"/>
          <w:sz w:val="16"/>
        </w:rPr>
        <w:t xml:space="preserve">国家税务总局上海市税务局：住房租金专项附加扣除  </w:t>
      </w:r>
      <w:hyperlink r:id="rId16">
        <w:r>
          <w:rPr>
            <w:color w:val="1F4E78"/>
            <w:u w:val="single"/>
            <w:rFonts w:eastAsia="等线"/>
            <w:sz w:val="14"/>
          </w:rPr>
          <w:t>https://shanghai.chinatax.gov.cn/zcfw/rdwd/202603/t479656.html</w:t>
        </w:r>
      </w:hyperlink>
    </w:p>
    <w:p>
      <w:pPr>
        <w:spacing w:after="60" w:line="252" w:lineRule="auto"/>
      </w:pPr>
      <w:r>
        <w:rPr>
          <w:rFonts w:ascii="等线" w:hAnsi="等线" w:eastAsia="等线"/>
          <w:b w:val="0"/>
          <w:i w:val="0"/>
          <w:color w:val="4C4C4C"/>
          <w:sz w:val="16"/>
        </w:rPr>
        <w:t xml:space="preserve">中国居民综合所得年度税率表  </w:t>
      </w:r>
      <w:hyperlink r:id="rId17">
        <w:r>
          <w:rPr>
            <w:color w:val="1F4E78"/>
            <w:u w:val="single"/>
            <w:rFonts w:eastAsia="等线"/>
            <w:sz w:val="14"/>
          </w:rPr>
          <w:t>https://www.chinatax.gov.cn/chinatax/n810341/n810755/c5132044/content.html</w:t>
        </w:r>
      </w:hyperlink>
    </w:p>
    <w:p>
      <w:pPr>
        <w:spacing w:after="60" w:line="252" w:lineRule="auto"/>
      </w:pPr>
      <w:r>
        <w:rPr>
          <w:rFonts w:ascii="等线" w:hAnsi="等线" w:eastAsia="等线"/>
          <w:b w:val="0"/>
          <w:i w:val="0"/>
          <w:color w:val="4C4C4C"/>
          <w:sz w:val="16"/>
        </w:rPr>
        <w:t xml:space="preserve">2026年上海市市民价格信息指南（上观新闻转载页及扫描页）  </w:t>
      </w:r>
      <w:hyperlink r:id="rId18">
        <w:r>
          <w:rPr>
            <w:color w:val="1F4E78"/>
            <w:u w:val="single"/>
            <w:rFonts w:eastAsia="等线"/>
            <w:sz w:val="14"/>
          </w:rPr>
          <w:t>https://www.shobserver.cn/sgh/detail?id=1695525</w:t>
        </w:r>
      </w:hyperlink>
    </w:p>
    <w:p>
      <w:pPr>
        <w:spacing w:after="60" w:line="252" w:lineRule="auto"/>
      </w:pPr>
      <w:r>
        <w:rPr>
          <w:rFonts w:ascii="等线" w:hAnsi="等线" w:eastAsia="等线"/>
          <w:b w:val="0"/>
          <w:i w:val="0"/>
          <w:color w:val="4C4C4C"/>
          <w:sz w:val="16"/>
        </w:rPr>
        <w:t xml:space="preserve">上海市统计局：2025年居民人均可支配收入和消费支出  </w:t>
      </w:r>
      <w:hyperlink r:id="rId19">
        <w:r>
          <w:rPr>
            <w:color w:val="1F4E78"/>
            <w:u w:val="single"/>
            <w:rFonts w:eastAsia="等线"/>
            <w:sz w:val="14"/>
          </w:rPr>
          <w:t>https://tjj.sh.gov.cn/ydsj71/20260120/39ae4cd58421478d897b739d83f39c10.html</w:t>
        </w:r>
      </w:hyperlink>
    </w:p>
    <w:p>
      <w:pPr>
        <w:spacing w:after="60" w:line="252" w:lineRule="auto"/>
      </w:pPr>
      <w:r>
        <w:rPr>
          <w:rFonts w:ascii="等线" w:hAnsi="等线" w:eastAsia="等线"/>
          <w:b w:val="0"/>
          <w:i w:val="0"/>
          <w:color w:val="4C4C4C"/>
          <w:sz w:val="16"/>
        </w:rPr>
        <w:t xml:space="preserve">临港新片区国际人才港：主城区人才公寓  </w:t>
      </w:r>
      <w:hyperlink r:id="rId20">
        <w:r>
          <w:rPr>
            <w:color w:val="1F4E78"/>
            <w:u w:val="single"/>
            <w:rFonts w:eastAsia="等线"/>
            <w:sz w:val="14"/>
          </w:rPr>
          <w:t>https://www.lingang.gov.cn/html/website/lg/rc/hotspot/redianxinwen/p1781237685213462530.html</w:t>
        </w:r>
      </w:hyperlink>
    </w:p>
    <w:p>
      <w:pPr>
        <w:spacing w:after="60" w:line="252" w:lineRule="auto"/>
      </w:pPr>
      <w:r>
        <w:rPr>
          <w:rFonts w:ascii="等线" w:hAnsi="等线" w:eastAsia="等线"/>
          <w:b w:val="0"/>
          <w:i w:val="0"/>
          <w:color w:val="4C4C4C"/>
          <w:sz w:val="16"/>
        </w:rPr>
        <w:t xml:space="preserve">安居客临港新城租房价格页  </w:t>
      </w:r>
      <w:hyperlink r:id="rId21">
        <w:r>
          <w:rPr>
            <w:color w:val="1F4E78"/>
            <w:u w:val="single"/>
            <w:rFonts w:eastAsia="等线"/>
            <w:sz w:val="14"/>
          </w:rPr>
          <w:t>https://m.anjuke.com/sh/rent/</w:t>
        </w:r>
      </w:hyperlink>
    </w:p>
    <w:p>
      <w:pPr>
        <w:spacing w:after="60" w:line="252" w:lineRule="auto"/>
      </w:pPr>
      <w:r>
        <w:rPr>
          <w:rFonts w:ascii="等线" w:hAnsi="等线" w:eastAsia="等线"/>
          <w:b w:val="0"/>
          <w:i w:val="0"/>
          <w:color w:val="4C4C4C"/>
          <w:sz w:val="16"/>
        </w:rPr>
        <w:t xml:space="preserve">58同城合租挂牌：保利蔚蓝林语  </w:t>
      </w:r>
      <w:hyperlink r:id="rId22">
        <w:r>
          <w:rPr>
            <w:color w:val="1F4E78"/>
            <w:u w:val="single"/>
            <w:rFonts w:eastAsia="等线"/>
            <w:sz w:val="14"/>
          </w:rPr>
          <w:t>https://sh.58.com/hezu/4088587099561999x.shtml</w:t>
        </w:r>
      </w:hyperlink>
    </w:p>
    <w:p>
      <w:pPr>
        <w:spacing w:after="60" w:line="252" w:lineRule="auto"/>
      </w:pPr>
      <w:r>
        <w:rPr>
          <w:rFonts w:ascii="等线" w:hAnsi="等线" w:eastAsia="等线"/>
          <w:b w:val="0"/>
          <w:i w:val="0"/>
          <w:color w:val="4C4C4C"/>
          <w:sz w:val="16"/>
        </w:rPr>
        <w:t xml:space="preserve">智联招聘校园页：中芯国际临港2027岗位  </w:t>
      </w:r>
      <w:hyperlink r:id="rId23">
        <w:r>
          <w:rPr>
            <w:color w:val="1F4E78"/>
            <w:u w:val="single"/>
            <w:rFonts w:eastAsia="等线"/>
            <w:sz w:val="14"/>
          </w:rPr>
          <w:t>https://www.zhaopin.com/zhaopin/77d11caf785b4ee185513c53ec47b291/</w:t>
        </w:r>
      </w:hyperlink>
    </w:p>
    <w:p>
      <w:pPr>
        <w:spacing w:after="60" w:line="252" w:lineRule="auto"/>
      </w:pPr>
      <w:r>
        <w:rPr>
          <w:rFonts w:ascii="等线" w:hAnsi="等线" w:eastAsia="等线"/>
          <w:b w:val="0"/>
          <w:i w:val="0"/>
          <w:color w:val="4C4C4C"/>
          <w:sz w:val="16"/>
        </w:rPr>
        <w:t xml:space="preserve">应届生求职网转载前程无忧：艾为设备工程师-临港-2027届  </w:t>
      </w:r>
      <w:hyperlink r:id="rId24">
        <w:r>
          <w:rPr>
            <w:color w:val="1F4E78"/>
            <w:u w:val="single"/>
            <w:rFonts w:eastAsia="等线"/>
            <w:sz w:val="14"/>
          </w:rPr>
          <w:t>https://m.yingjiesheng.com/job-008-033-479.html</w:t>
        </w:r>
      </w:hyperlink>
    </w:p>
    <w:p>
      <w:pPr>
        <w:spacing w:after="60" w:line="252" w:lineRule="auto"/>
      </w:pPr>
      <w:r>
        <w:rPr>
          <w:rFonts w:ascii="等线" w:hAnsi="等线" w:eastAsia="等线"/>
          <w:b w:val="0"/>
          <w:i w:val="0"/>
          <w:color w:val="4C4C4C"/>
          <w:sz w:val="16"/>
        </w:rPr>
        <w:t xml:space="preserve">应届生求职网转载前程无忧：延锋彼欧2027工程设备  </w:t>
      </w:r>
      <w:hyperlink r:id="rId25">
        <w:r>
          <w:rPr>
            <w:color w:val="1F4E78"/>
            <w:u w:val="single"/>
            <w:rFonts w:eastAsia="等线"/>
            <w:sz w:val="14"/>
          </w:rPr>
          <w:t>https://m.yingjiesheng.com/job-008-084-813.html</w:t>
        </w:r>
      </w:hyperlink>
    </w:p>
    <w:p>
      <w:pPr>
        <w:pStyle w:val="Heading1"/>
        <w:keepNext/>
      </w:pPr>
      <w:r>
        <w:rPr>
          <w:rFonts w:ascii="等线" w:hAnsi="等线" w:eastAsia="等线"/>
          <w:b/>
          <w:i w:val="0"/>
          <w:color w:val="000000"/>
          <w:sz w:val="36"/>
        </w:rPr>
        <w:t>附录二 数据版本与复算入口</w:t>
      </w:r>
    </w:p>
    <w:p>
      <w:pPr>
        <w:spacing w:after="100" w:line="300" w:lineRule="auto"/>
      </w:pPr>
      <w:r>
        <w:rPr>
          <w:rFonts w:ascii="等线" w:hAnsi="等线" w:eastAsia="等线"/>
          <w:b w:val="0"/>
          <w:i w:val="0"/>
          <w:color w:val="000000"/>
          <w:sz w:val="21"/>
        </w:rPr>
        <w:t>数据版本为2027EE-LG-20261026-v1，截止日为2026-10-26。用作建模的标准化数据保存在项目data目录，交互页使用同一份analysis_payload.json，Excel总表使用同一套税率、基数与住房参数。</w:t>
      </w:r>
    </w:p>
    <w:tbl>
      <w:tblPr>
        <w:tblW w:type="auto" w:w="0"/>
        <w:jc w:val="center"/>
        <w:tblLayout w:type="fixed"/>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3360"/>
        <w:gridCol w:w="3360"/>
        <w:gridCol w:w="3360"/>
      </w:tblGrid>
      <w:tr>
        <w:trPr>
          <w:tblHeader w:val="true"/>
          <w:cantSplit/>
        </w:trPr>
        <w:tc>
          <w:tcPr>
            <w:tcW w:type="dxa" w:w="1944"/>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文件</w:t>
            </w:r>
          </w:p>
        </w:tc>
        <w:tc>
          <w:tcPr>
            <w:tcW w:type="dxa" w:w="5472"/>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作用</w:t>
            </w:r>
          </w:p>
        </w:tc>
        <w:tc>
          <w:tcPr>
            <w:tcW w:type="dxa" w:w="2088"/>
            <w:shd w:fill="17365D"/>
            <w:tcMar>
              <w:top w:w="90" w:type="dxa"/>
              <w:start w:w="110" w:type="dxa"/>
              <w:bottom w:w="90" w:type="dxa"/>
              <w:end w:w="110" w:type="dxa"/>
            </w:tcMar>
            <w:vAlign w:val="center"/>
          </w:tcPr>
          <w:p>
            <w:pPr>
              <w:spacing w:after="0"/>
              <w:jc w:val="center"/>
            </w:pPr>
            <w:r>
              <w:rPr>
                <w:rFonts w:ascii="等线" w:hAnsi="等线" w:eastAsia="等线"/>
                <w:b/>
                <w:i w:val="0"/>
                <w:color w:val="FFFFFF"/>
                <w:sz w:val="15"/>
              </w:rPr>
              <w:t>校验值</w:t>
            </w:r>
          </w:p>
        </w:tc>
      </w:tr>
      <w:tr>
        <w:trPr>
          <w:cantSplit/>
        </w:trPr>
        <w:tc>
          <w:tcPr>
            <w:tcW w:type="dxa" w:w="194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data/analysis_payload.json</w:t>
            </w:r>
          </w:p>
        </w:tc>
        <w:tc>
          <w:tcPr>
            <w:tcW w:type="dxa" w:w="547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岗位、房租、生活成本、官方数据与30个测算情景</w:t>
            </w:r>
          </w:p>
        </w:tc>
        <w:tc>
          <w:tcPr>
            <w:tcW w:type="dxa" w:w="208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SHA-256 ab4ef7f5cd838a870040af680d31de477bde6a8ab4b60bdab9b8eeb0ca30d505</w:t>
            </w:r>
          </w:p>
        </w:tc>
      </w:tr>
      <w:tr>
        <w:trPr>
          <w:cantSplit/>
        </w:trPr>
        <w:tc>
          <w:tcPr>
            <w:tcW w:type="dxa" w:w="1944"/>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data/jobs.csv</w:t>
            </w:r>
          </w:p>
        </w:tc>
        <w:tc>
          <w:tcPr>
            <w:tcW w:type="dxa" w:w="547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14条岗位明细，含6条核心2027样本与8条排除/观察样本</w:t>
            </w:r>
          </w:p>
        </w:tc>
        <w:tc>
          <w:tcPr>
            <w:tcW w:type="dxa" w:w="208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由同一构建脚本生成</w:t>
            </w:r>
          </w:p>
        </w:tc>
      </w:tr>
      <w:tr>
        <w:trPr>
          <w:cantSplit/>
        </w:trPr>
        <w:tc>
          <w:tcPr>
            <w:tcW w:type="dxa" w:w="1944"/>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data/rent.csv</w:t>
            </w:r>
          </w:p>
        </w:tc>
        <w:tc>
          <w:tcPr>
            <w:tcW w:type="dxa" w:w="5472"/>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9条房租与官方人才公寓观察</w:t>
            </w:r>
          </w:p>
        </w:tc>
        <w:tc>
          <w:tcPr>
            <w:tcW w:type="dxa" w:w="2088"/>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小样本警告保留</w:t>
            </w:r>
          </w:p>
        </w:tc>
      </w:tr>
      <w:tr>
        <w:trPr>
          <w:cantSplit/>
        </w:trPr>
        <w:tc>
          <w:tcPr>
            <w:tcW w:type="dxa" w:w="1944"/>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data/city_model.csv</w:t>
            </w:r>
          </w:p>
        </w:tc>
        <w:tc>
          <w:tcPr>
            <w:tcW w:type="dxa" w:w="5472"/>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30个可复算情景，使用精确月度到手现金覆盖</w:t>
            </w:r>
          </w:p>
        </w:tc>
        <w:tc>
          <w:tcPr>
            <w:tcW w:type="dxa" w:w="2088"/>
            <w:shd w:fill="F5F8FA"/>
            <w:tcMar>
              <w:top w:w="90" w:type="dxa"/>
              <w:start w:w="110" w:type="dxa"/>
              <w:bottom w:w="90" w:type="dxa"/>
              <w:end w:w="110" w:type="dxa"/>
            </w:tcMar>
            <w:vAlign w:val="center"/>
          </w:tcPr>
          <w:p>
            <w:pPr>
              <w:spacing w:after="0" w:line="252" w:lineRule="auto"/>
              <w:jc w:val="left"/>
            </w:pPr>
            <w:r>
              <w:rPr>
                <w:rFonts w:ascii="等线" w:hAnsi="等线" w:eastAsia="等线"/>
                <w:b w:val="0"/>
                <w:i w:val="0"/>
                <w:color w:val="000000"/>
                <w:sz w:val="15"/>
              </w:rPr>
              <w:t>租赁期12个月</w:t>
            </w:r>
          </w:p>
        </w:tc>
      </w:tr>
    </w:tbl>
    <w:p>
      <w:pPr>
        <w:spacing w:after="0"/>
      </w:pPr>
    </w:p>
    <w:p>
      <w:pPr>
        <w:spacing w:after="100" w:line="300" w:lineRule="auto"/>
      </w:pPr>
      <w:r>
        <w:rPr>
          <w:rFonts w:ascii="等线" w:hAnsi="等线" w:eastAsia="等线"/>
          <w:b w:val="0"/>
          <w:i w:val="0"/>
          <w:color w:val="000000"/>
          <w:sz w:val="21"/>
        </w:rPr>
        <w:t>报告没有把模型输入写成观测值，也没有把未知条件写成否定条件。若需要将本流程复用到其他城市，应重新确认当地税费、社保公积金、岗位关键词、押付规则、租金和餐饮篮子。</w:t>
      </w:r>
    </w:p>
    <w:sectPr w:rsidR="00FC693F" w:rsidRPr="0006063C" w:rsidSect="00034616">
      <w:headerReference w:type="default" r:id="rId9"/>
      <w:footerReference w:type="default" r:id="rId10"/>
      <w:pgSz w:w="12240" w:h="15840"/>
      <w:pgMar w:top="1037" w:right="1080" w:bottom="979" w:left="1080"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等线" w:hAnsi="等线" w:eastAsia="等线"/>
        <w:b w:val="0"/>
        <w:i w:val="0"/>
        <w:color w:val="4C4C4C"/>
        <w:sz w:val="17"/>
      </w:rPr>
      <w:t xml:space="preserve">第 </w:t>
      <w:fldChar w:fldCharType="begin"/>
      <w:instrText xml:space="preserve"> PAGE </w:instrText>
      <w:fldChar w:fldCharType="separate"/>
      <w:t>1</w:t>
      <w:fldChar w:fldCharType="end"/>
    </w:r>
    <w:r>
      <w:rPr>
        <w:rFonts w:ascii="等线" w:hAnsi="等线" w:eastAsia="等线"/>
        <w:b w:val="0"/>
        <w:i w:val="0"/>
        <w:color w:val="4C4C4C"/>
        <w:sz w:val="17"/>
      </w:rPr>
      <w:t xml:space="preserve"> 页</w:t>
    </w:r>
    <w:r>
      <w:rPr>
        <w:rFonts w:ascii="等线" w:hAnsi="等线" w:eastAsia="等线"/>
        <w:b w:val="0"/>
        <w:i w:val="0"/>
        <w:color w:val="4C4C4C"/>
        <w:sz w:val="16"/>
      </w:rPr>
      <w:t xml:space="preserve">  |  2027EE-LG-20261026-v1</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等线" w:hAnsi="等线" w:eastAsia="等线"/>
        <w:b w:val="0"/>
        <w:i w:val="0"/>
        <w:color w:val="4C4C4C"/>
        <w:sz w:val="16"/>
      </w:rPr>
      <w:t>2027届电气工程及其自动化本科应届生临港调研</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300" w:lineRule="auto"/>
    </w:pPr>
    <w:rPr>
      <w:rFonts w:ascii="等线" w:hAnsi="等线" w:eastAsia="等线"/>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等线" w:hAnsi="等线" w:eastAsia="等线"/>
      <w:b/>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等线" w:hAnsi="等线" w:eastAsia="等线"/>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等线" w:hAnsi="等线" w:eastAsia="等线"/>
      <w:b/>
      <w:bCs/>
      <w:color w:val="000000"/>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00" w:line="240" w:lineRule="auto" w:before="0"/>
      <w:contextualSpacing/>
    </w:pPr>
    <w:rPr>
      <w:rFonts w:asciiTheme="majorHAnsi" w:eastAsiaTheme="majorEastAsia" w:hAnsiTheme="majorHAnsi" w:cstheme="majorBidi" w:ascii="等线" w:hAnsi="等线" w:eastAsia="等线"/>
      <w:b/>
      <w:color w:val="00000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100"/>
    </w:pPr>
    <w:rPr>
      <w:rFonts w:asciiTheme="majorHAnsi" w:eastAsiaTheme="majorEastAsia" w:hAnsiTheme="majorHAnsi" w:cstheme="majorBidi" w:ascii="等线" w:hAnsi="等线" w:eastAsia="等线"/>
      <w:b/>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hyperlink" Target="https://rsj.sh.gov.cn/tgsgg_17341/20260818/t0035_1443203.html" TargetMode="External"/><Relationship Id="rId14" Type="http://schemas.openxmlformats.org/officeDocument/2006/relationships/hyperlink" Target="https://rsj.sh.gov.cn/tmsztc_17502/20240416/t0035_1423583.html" TargetMode="External"/><Relationship Id="rId15" Type="http://schemas.openxmlformats.org/officeDocument/2006/relationships/hyperlink" Target="https://www.shzfgjj.cn/html/twzl/228488.html" TargetMode="External"/><Relationship Id="rId16" Type="http://schemas.openxmlformats.org/officeDocument/2006/relationships/hyperlink" Target="https://shanghai.chinatax.gov.cn/zcfw/rdwd/202603/t479656.html" TargetMode="External"/><Relationship Id="rId17" Type="http://schemas.openxmlformats.org/officeDocument/2006/relationships/hyperlink" Target="https://www.chinatax.gov.cn/chinatax/n810341/n810755/c5132044/content.html" TargetMode="External"/><Relationship Id="rId18" Type="http://schemas.openxmlformats.org/officeDocument/2006/relationships/hyperlink" Target="https://www.shobserver.cn/sgh/detail?id=1695525" TargetMode="External"/><Relationship Id="rId19" Type="http://schemas.openxmlformats.org/officeDocument/2006/relationships/hyperlink" Target="https://tjj.sh.gov.cn/ydsj71/20260120/39ae4cd58421478d897b739d83f39c10.html" TargetMode="External"/><Relationship Id="rId20" Type="http://schemas.openxmlformats.org/officeDocument/2006/relationships/hyperlink" Target="https://www.lingang.gov.cn/html/website/lg/rc/hotspot/redianxinwen/p1781237685213462530.html" TargetMode="External"/><Relationship Id="rId21" Type="http://schemas.openxmlformats.org/officeDocument/2006/relationships/hyperlink" Target="https://m.anjuke.com/sh/rent/" TargetMode="External"/><Relationship Id="rId22" Type="http://schemas.openxmlformats.org/officeDocument/2006/relationships/hyperlink" Target="https://sh.58.com/hezu/4088587099561999x.shtml" TargetMode="External"/><Relationship Id="rId23" Type="http://schemas.openxmlformats.org/officeDocument/2006/relationships/hyperlink" Target="https://www.zhaopin.com/zhaopin/77d11caf785b4ee185513c53ec47b291/" TargetMode="External"/><Relationship Id="rId24" Type="http://schemas.openxmlformats.org/officeDocument/2006/relationships/hyperlink" Target="https://m.yingjiesheng.com/job-008-033-479.html" TargetMode="External"/><Relationship Id="rId25" Type="http://schemas.openxmlformats.org/officeDocument/2006/relationships/hyperlink" Target="https://m.yingjiesheng.com/job-008-084-813.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