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imes New Roman" w:hAnsi="Times New Roman" w:eastAsia="標楷體"/>
          <w:b/>
          <w:sz w:val="28"/>
        </w:rPr>
        <w:t>AI CUP 2026</w:t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標楷體"/>
          <w:b/>
          <w:sz w:val="40"/>
        </w:rPr>
        <w:t>ESG 永續承諾驗證競賽（VeriPromiseESG）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標楷體"/>
          <w:b/>
          <w:sz w:val="24"/>
        </w:rPr>
        <w:t>隊伍：TEAM_10505（學生組）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標楷體"/>
          <w:b w:val="0"/>
          <w:sz w:val="24"/>
        </w:rPr>
        <w:t>隊員：【請填寫所有隊員姓名，隊長請括號附註】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標楷體"/>
          <w:b w:val="0"/>
          <w:sz w:val="24"/>
        </w:rPr>
        <w:t>指導教授／業師：【若有，請填寫姓名、學校或公司、科系或職稱、信箱；若無可刪除本欄】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標楷體"/>
          <w:b/>
          <w:sz w:val="24"/>
        </w:rPr>
        <w:t>Private leaderboard：0.6432854 / Rank 12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標楷體"/>
          <w:b w:val="0"/>
          <w:sz w:val="20"/>
        </w:rPr>
        <w:t>（Public leaderboard 最終成績：0.6249259 / Rank 15）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eastAsia="標楷體"/>
          <w:b w:val="0"/>
          <w:sz w:val="24"/>
        </w:rPr>
        <w:t>是否有意願參與後續工作坊／研討會發表：□是 □否</w:t>
      </w:r>
    </w:p>
    <w:p>
      <w:pPr>
        <w:spacing w:after="120" w:before="0" w:line="240" w:lineRule="auto"/>
      </w:pPr>
      <w:r>
        <w:rPr>
          <w:rFonts w:ascii="Times New Roman" w:hAnsi="Times New Roman" w:eastAsia="標楷體"/>
          <w:b/>
          <w:sz w:val="28"/>
        </w:rPr>
        <w:t>壹、環境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本隊開發與訓練環境如下。作業系統為 Ubuntu Linux（核心 6.x），程式語言為 Python 3.13。硬體採用單張 NVIDIA GeForce RTX 5090（32GB VRAM）進行所有模型訓練與推論。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主要使用之套件包括：PyTorch（CUDA，建構與訓練 Transformer 模型）、HuggingFace Transformers（載入預訓練語言模型與分詞器）、scikit-learn（macro-F1 評估、交叉驗證切分、bootstrap 顯著性檢定）、NumPy 與 pandas（資料處理）、Matplotlib（結果視覺化）。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預訓練模型（皆為開源、於本地端執行）：骨幹編碼器為 hfl/chinese-roberta-wwm-ext-large；kNN 標籤分布學習之文字嵌入採用 Qwen/Qwen3-Embedding-0.6B。競賽主辦單位已於官方討論串明確說明「任何訓練階段皆不限制使用開源或閉源大型語言模型」。本隊最終提交所依賴之模型全為開源且於本地推論，推論階段不呼叫任何外部 API，可完全離線重現。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額外資料集：本隊曾下載並清理 ML-Promise（SemEval-2025 Task 6）多語資料用於 T3 增補實驗，惟最終未採用（跨語遷移失敗，詳見「陸」）。除此之外僅使用主辦單位提供之競賽資料集。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生成式 AI 揭露：本隊於程式撰寫、實驗設計、文獻調研與數據分析過程中，使用生成式 AI 助理 Anthropic Claude（透過 Claude Code，模型為 Claude Opus 4.x，最終版本 Opus 4.8，1M context）。具體用途：協助撰寫與重構 Python 訓練／推論／評估程式碼、設計與編排消融實驗與 bootstrap 檢定、彙整相關研究文獻、以及維護實驗紀錄。競賽策略與方向、方法論紀律之堅持（抗過擬合、共同確認規則）、所有模型架構決策、實驗結論與最終提交選擇，皆由本隊人工審查與決定；致勝之核心構想（逐任務 max_length 收割、聯合結構化解碼）源自人機協作。〔請隊伍依實際情況校準本段用字與貢獻比例。〕</w:t>
      </w:r>
    </w:p>
    <w:p>
      <w:pPr>
        <w:spacing w:after="120" w:before="0" w:line="240" w:lineRule="auto"/>
      </w:pPr>
      <w:r>
        <w:rPr>
          <w:rFonts w:ascii="Times New Roman" w:hAnsi="Times New Roman" w:eastAsia="標楷體"/>
          <w:b/>
          <w:sz w:val="28"/>
        </w:rPr>
        <w:t>貳、演算方法與模型架構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本競賽需對企業 ESG 報告段落同時預測四項相依子任務：T1 承諾辨識 promise_status（Yes/No）、T2 證據佐證 evidence_status（Yes/No/N/A）、T3 證據品質 evidence_quality（Clear/Not Clear/Misleading/N/A）、T4 驗證時程 verification_timeline（already/within_2_years/between_2_and_5_years/more_than_5_years/N/A）。評分為加權 macro-F1：0.20×T1 + 0.30×T2 + 0.35×T3 + 0.15×T4，且僅計入解答中實際出現之類別。四任務間具邏輯硬性相依（T1=No → 下游皆 N/A；T2=No → T3=N/A），此結構為本題核心特性。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整體推論流程為：段落文字 →（RoBERTa-large 編碼器，取 CLS 表徵）→ CascadeHeadV2 級聯多任務頭 → 3 seeds × 5 folds 機率平均集成 → T3 強化（NC-bias → kNN-LDL 融合 → clarity 頭覆蓋）→ 聯合結構化解碼（joint decode）與 N/A 級聯規則 → 產生提交。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（一）骨幹與級聯頭：採用中文 RoBERTa-large（hfl/chinese-roberta-wwm-ext-large）。CascadeHeadV2 將上游任務之 softmax 機率串接進下游頭之輸入——T1 機率送入 T2、T1 與 T2 機率送入 T3、T1 機率送入 T4——於架構層面直接編碼任務間之依賴關係。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（二）逐任務損失（per-task loss）：T1 與 T2 採加權交叉熵；T3 採 Distribution-Balanced（NTR）損失並對 Not Clear 類別加權（t3_nc_weight=3.0），對抗 Clear ≫ Not Clear 之嚴重不平衡；T4 採 ordinal 損失（時程具自然順序）。另採路徑損失（path loss）：T1=No 之列不計算下游損失，使下游頭僅在有意義之列學習。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（三）T3 強化模組（本題最弱、權重最高之任務）：NC-bias 於推論時將 Not Clear 機率乘 exp(0.1) 再正規化；kNN-LDL 以 Qwen3-Embedding-0.6B 取 k=5 最近鄰之 T3 標籤分布，與模型機率以 0.6×model + 0.4×kNN 融合；另設一獨立之 balanced-softmax clarity 頭，於高信心（≥0.7）且非 Misleading 時硬覆蓋模型之 T3 預測。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（四）規模與序列長度：骨幹為 RoBERTa-large（約 3.3 億參數），最大序列長度依任務分別設為 384 或 512（詳見「肆」與「參」）。</w:t>
      </w:r>
    </w:p>
    <w:p>
      <w:pPr>
        <w:spacing w:after="120" w:before="0" w:line="240" w:lineRule="auto"/>
      </w:pPr>
      <w:r>
        <w:rPr>
          <w:rFonts w:ascii="Times New Roman" w:hAnsi="Times New Roman" w:eastAsia="標楷體"/>
          <w:b/>
          <w:sz w:val="28"/>
        </w:rPr>
        <w:t>參、創新性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（一）逐子任務 max_length「收割」（per-task harvest）：RoBERTa 上限為 512 token，而資料 token 長度 p95 僅 381（僅 4.8% 超過 384）。本隊訓練 @384 與 @512 兩套模型，並利用「AIdea 每次提交皆回報四個子任務分數」之特性，以單次全 @512 提交一次讀出四任務於 @512 之分數，再與已知之 @384 對照，逐任務挑選較佳來源。重大發現為：本地驗證集與真實測試集出現反轉——valid 上看似 T3@512 較佳、T4@512 較差，但 AIdea 上完全相反（T4@512 大幅勝出、T3 應留 @384）。最終來源為 T1/T3@384、T2/T4@512。此發現體現「本地 CV 與測試分布不一致時，應以同分布訊號為準」。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（二）聯合結構化解碼（joint / structured decoding）—— 核心貢獻：原本解碼為貪婪、單向（先 argmax 上游 gate，T1=No 即強制下游為 N/A），僅用到依賴之前向。本隊改為對每列列舉三個合法聯合分支（No / Yes-No / Yes-Yes），選擇使四任務聯合對數機率最大者，並使用模型自身對下游 N/A 之機率，使下游之高信心可反向修正上游 gate。其性質為推論期、不需重訓、且具結構性（用真實依賴與模型自身機率，而非調參捷徑）。效果為「同一批機率、僅改解碼」即在 AIdea 上四個子任務同時提升，總分 0.6232→0.6249，並於 Private 重排中持續轉移。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（三）kNN 標籤分布學習與獨立 clarity 頭強化 T3：以外部嵌入模型之鄰居標籤分布與獨立分類頭，對權重最高、最難之 T3 任務提供與骨幹去相關之第二意見。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（四）抗過擬合之方法論紀律：本隊將 CV、Public LB、Private 視為三個有偏之噪音估計，僅採用能被兩個獨立訊號共同確認（convergent evidence）、且具結構性之改動；對只在單一榜單變好之改動一律視為過擬合嫌疑而拒絕。此紀律是 Private 名次上升之主因（詳見「陸」）。</w:t>
      </w:r>
    </w:p>
    <w:p>
      <w:pPr>
        <w:spacing w:after="120" w:before="0" w:line="240" w:lineRule="auto"/>
      </w:pPr>
      <w:r>
        <w:rPr>
          <w:rFonts w:ascii="Times New Roman" w:hAnsi="Times New Roman" w:eastAsia="標楷體"/>
          <w:b/>
          <w:sz w:val="28"/>
        </w:rPr>
        <w:t>肆、資料處理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競賽資料集 VeriPromiseESG4K 取自台灣 50 指數成分股之 ESG 報告書，每列為一段文字並附四任務標註。本隊使用兩套資料設定：final_data（1601 筆，含本地 valid 399 筆，用於選型與消融）與 retrain_data（2000 筆，用於產生最終提交之模型）。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（一）N/A 級聯結構之驗證：本隊以訓練資料實際統計驗證級聯規則完全成立——T1=No 時 T2/T3/T4 必為 N/A（100%）；T1=Yes 且 T2=No 時 T3 必為 N/A（100%）但 T4 仍為時程類別（0% 為 N/A）；T1=Yes 且 T2=Yes 時 T3/T4 皆為實類別。推論時據此套用 N/A 級聯規則，並確認最終提交無級聯違規列。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（二）序列長度與截斷分析：token 長度分布為 p50=174、p90=319、p95=381、p99=550。據此將 max_length 設為 384（覆蓋 95% 之資料）為主，並另訓練 @512 版本供逐任務收割比較（見「參」）。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（三）稀有類別處理：T3 之 Not Clear、Misleading 與 T4 之 within_2_years 皆為稀有類別。訓練時以 augment_rare 對稀有類別過採樣，並於 T3 損失加權 Not Clear；推論時以 NC-bias 與 kNN-LDL 進一步調整。其中 Misleading 經驗證為無法由文字內容判定之主觀標註（見「陸」），故本隊不對其強行預測，以免注入假陽性。</w:t>
      </w:r>
    </w:p>
    <w:p>
      <w:pPr>
        <w:spacing w:after="120" w:before="0" w:line="240" w:lineRule="auto"/>
      </w:pPr>
      <w:r>
        <w:rPr>
          <w:rFonts w:ascii="Times New Roman" w:hAnsi="Times New Roman" w:eastAsia="標楷體"/>
          <w:b/>
          <w:sz w:val="28"/>
        </w:rPr>
        <w:t>伍、訓練方式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（一）訓練配方：主力配方（代號 FC1R）於 CascadeHeadV2 上加入 R-Drop（α=0.5）與 SWA（自第 7 個 epoch 起），並開啟 per-task loss、augment_rare、deep_cascade 與 t3_nc_weight=3.0。本隊亦訓練 base、SharpReCL、MR2 等其他配方供集成消融，惟最終以 FC1R 轉移最佳而採用。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（二）最佳化與集成：採 AdamW 最佳化器；以 5-fold 交叉驗證 × 3 個隨機種子（42/123/456）做機率平均集成。種子曲線（1→2→3 seed：0.658→0.673→0.679）顯示報酬遞減，3 seed 為最佳折衷；本隊驗證 5 seed 相對 3 seed 之增益在噪音範圍內，故不採用。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（三）兩階段資料流程：先於 final_data（1601）訓練、以本地 valid 399 選型與做消融；確立關鍵設計（per-task @384/@512、kNN α=0.4、NC-bias 0.1、clarity 門檻 0.7）後，再於 retrain_data（2000）自頭重訓 RT 模型以最大化可用資訊，並據此生成最終提交。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（四）提交紀律：競賽每日提交配額有限（組內共用）。本隊維護提交紀錄，對每次提交記錄「預期分數、欲驗證之假設、事後結論」，並盡量以單一變因為原則，使 LB 回饋能明確歸因；對昂貴之多種子重訓，先以最便宜之隔離測試（1-seed 對 1-seed）確認方法有效後才放大，避免浪費配額與運算。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（五）最終提交生成：以 retrain 模型產生各任務機率（gen_rt_more.py），融合 kNN-LDL 與 clarity，最後以聯合結構化解碼（gen_joint_aidea.py，wgate=2.0）產生 aidea_joint_w2.0.csv，並逐項檢查列數（2000）、標籤字串、N/A 級聯一致性後方才提交。</w:t>
      </w:r>
    </w:p>
    <w:p>
      <w:pPr>
        <w:spacing w:after="120" w:before="0" w:line="240" w:lineRule="auto"/>
      </w:pPr>
      <w:r>
        <w:rPr>
          <w:rFonts w:ascii="Times New Roman" w:hAnsi="Times New Roman" w:eastAsia="標楷體"/>
          <w:b/>
          <w:sz w:val="28"/>
        </w:rPr>
        <w:t>陸、分析與結論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本隊 Public LB 成績逐步演進：0.6188（clarity-on-3way）→ 0.6221（pure @512）→ 0.6232（逐任務 @384/@512 混合）→ 0.6249（聯合結構化解碼），每一步皆為結構性且經 AIdea 確認之增益。最終 Public 為 0.6249259（第 15 名）。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最關鍵之驗證在 Private 重排：本隊提交於 Private LB 取得 0.6432854（第 12 名），相對 Public 分數提升約 +0.018、名次上升 3 名；而許多在截止前大量刷 Public 的隊伍則退步。此結果直接印證本隊「只押結構性、共同確認之改動，不追逐單一榜單」之方法論——結構性、未過度擬合之提交，正是在 Private 重排中得以保持並上升的關鍵。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最終提交之穩健性驗證：對解碼權重 wgate∈[1.0,2.5] 擾動時，提交僅改變 0.1–0.2% 之儲存格（非刀鋒解）；最終檔有 98.2% 與已確認之基底相同（為「已確認基底＋微小結構性修正」，而非脆弱新建構）；格式與 N/A 級聯經驗證無誤；且為結構性提交而非截止前刷榜，故能穩健面對分布變動。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天花板診斷——T3 為 label-limited：本隊從六個獨立角度（14B 大型語言模型判別、ESG 領域特徵 re-ranker、跨 backbone 集成、kNN、事後 logit 調整、訓練期條件鏈式 aux）以及 SemEval-2025 Task 6 與 LeWiDi 之文獻，確認 T3 之 Clear↔Not Clear↔Misleading 邊界無法由文字內容判定（Misleading 屬主觀標註，訊號不在輸入中）；SemEval 同題之頂尖系統亦僅約 0.52–0.53。因此本隊停止於 T3 投入，將資源集中於可轉移之結構性改動。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失敗案例與否決之方法（誠實的負面結果）：company/ticker prior 融合（valid 顯著正但 AIdea 過擬合退步）、12-way 跨配方集成（valid 0.681 最高卻 AIdea 0.614 最差，為 valid→test 反轉鐵證）、跨 backbone 集成（XLM-R/mmBERT/BGE-M3/DeBERTa 皆弱於 RoBERTa）、Misleading 與 gate 之 LLM 判別、領域特徵 re-ranker、SupCon 對比微調、ordinal/OLL、條件鏈式 aux、post-hoc logit 調整與 per-class threshold、soft-macro-F1、半監督/pseudo-label——皆因過擬合或碰到 T3 之 label-limit 而否決。統一結論：上述多為「重塑輸出/損失」之方法，當瓶頸是輸入訊號/標籤本身之限制時，無法補回不存在之訊號。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研究限制與未來方向：（一）受限於時程與配額，部分方向（如以外部資料將 Misleading 連結至已知漂綠案例）未能完整驗證；（二）若一開始即釐清本地 CV 與測試分布不一致，可更早採用同分布訊號為準；（三）真正能突破 T3 天花板者，須為新的輸入訊號（外部資料或更強表徵），而非輸出端方法。整體而言，本隊在嚴格之抗過擬合紀律下，由 0.6188 逐步提升至最終 Private 0.6432854（第 12 名），驗證了任務拆分、依賴建模（聯合解碼）、與紀律性決策之有效性。</w:t>
      </w:r>
    </w:p>
    <w:p>
      <w:pPr>
        <w:spacing w:after="120" w:before="0" w:line="240" w:lineRule="auto"/>
      </w:pPr>
      <w:r>
        <w:rPr>
          <w:rFonts w:ascii="Times New Roman" w:hAnsi="Times New Roman" w:eastAsia="標楷體"/>
          <w:b/>
          <w:sz w:val="28"/>
        </w:rPr>
        <w:t>柒、程式碼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GitHub 連結：https://github.com/yuchengf/veripromiseesg-2026（公開倉庫，可直接開啟瀏覽與 clone 執行）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程式碼倉庫包含：模型／級聯頭／損失／訓練／k-fold／推論之主程式 esg_main.py；以 retrain 模型產生提交與 kNN-LDL 融合之 gen_rt_more.py；聯合結構化解碼之 gen_joint_aidea.py；獨立 clarity 頭之 clarity_head.py；本地 valid 評估與機率快取之 eval_single_run.py；並附 README.md 說明環境安裝、資料路徑、訓練指令與重現步驟（最終提交可由 python gen_joint_aidea.py 2.0 重現 aidea_joint_w2.0.csv）。</w:t>
      </w:r>
    </w:p>
    <w:p>
      <w:pPr>
        <w:spacing w:after="120" w:before="0" w:line="240" w:lineRule="auto"/>
      </w:pPr>
      <w:r>
        <w:rPr>
          <w:rFonts w:ascii="Times New Roman" w:hAnsi="Times New Roman" w:eastAsia="標楷體"/>
          <w:b/>
          <w:sz w:val="28"/>
        </w:rPr>
        <w:t>捌、使用的外部資源與參考文獻</w:t>
      </w:r>
    </w:p>
    <w:p>
      <w:pPr>
        <w:spacing w:after="160" w:before="0" w:line="240" w:lineRule="auto"/>
      </w:pPr>
      <w:r>
        <w:rPr>
          <w:rFonts w:ascii="Times New Roman" w:hAnsi="Times New Roman" w:eastAsia="標楷體"/>
          <w:b w:val="0"/>
          <w:sz w:val="24"/>
        </w:rPr>
        <w:t>外部資源：開源工具包含 PyTorch、HuggingFace Transformers、scikit-learn、NumPy、pandas、Matplotlib（皆為公開套件）；開源預訓練模型 hfl/chinese-roberta-wwm-ext-large 與 Qwen/Qwen3-Embedding-0.6B（皆於本地執行）；並使用生成式 AI 助理 Anthropic Claude（Claude Code，Opus 4.x／4.8）協助程式撰寫與分析（已於「壹、環境」揭露）。資料方面除主辦單位競賽資料集外，曾於實驗中使用 ML-Promise（SemEval-2025 Task 6）資料但最終未採用。</w:t>
      </w:r>
    </w:p>
    <w:p>
      <w:pPr>
        <w:spacing w:after="80" w:before="0" w:line="240" w:lineRule="auto"/>
      </w:pPr>
      <w:r>
        <w:rPr>
          <w:rFonts w:ascii="Times New Roman" w:hAnsi="Times New Roman" w:eastAsia="標楷體"/>
          <w:b w:val="0"/>
          <w:sz w:val="24"/>
        </w:rPr>
        <w:t>參考文獻（APA 格式）：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Cui, Y., Che, W., Liu, T., Qin, B., &amp; Yang, Z. (2021). Pre-training with whole word masking for Chinese BERT. IEEE/ACM Transactions on Audio, Speech, and Language Processing, 29, 3504–3514.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Liu, Y., Ott, M., Goyal, N., Du, J., Joshi, M., Chen, D., Levy, O., Lewis, M., Zettlemoyer, L., &amp; Stoyanov, V. (2019). RoBERTa: A robustly optimized BERT pretraining approach. arXiv:1907.11692.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Vaswani, A., Shazeer, N., Parmar, N., Uszkoreit, J., Jones, L., Gomez, A. N., Kaiser, Ł., &amp; Polosukhin, I. (2017). Attention is all you need. In Advances in Neural Information Processing Systems (NeurIPS).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Lin, T.-Y., Goyal, P., Girshick, R., He, K., &amp; Dollár, P. (2017). Focal loss for dense object detection. In Proceedings of the IEEE International Conference on Computer Vision (ICCV).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Wu, T., Huang, Q., Liu, Z., Wang, Y., &amp; Lin, D. (2020). Distribution-balanced loss for multi-label classification in long-tailed datasets. In Proceedings of the European Conference on Computer Vision (ECCV).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Wu, L., Li, J., Wang, Y., Meng, Q., Qin, T., Chen, W., Zhang, M., Liu, T.-Y. (2021). R-Drop: Regularized dropout for neural networks. In Advances in Neural Information Processing Systems (NeurIPS).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Menon, A. K., Jayasumana, S., Rawat, A. S., Jain, H., Veit, A., &amp; Kumar, S. (2021). Long-tail learning via logit adjustment. In International Conference on Learning Representations (ICLR).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Shi, X., Cao, W., &amp; Raschka, S. (2023). Deep neural networks for rank-consistent ordinal regression based on conditional probabilities (CORN). Pattern Analysis and Applications, 26, 941–955.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Bénédict, G., Koops, V., Odijk, D., &amp; de Rijke, M. (2022). sigmoidF1: A smooth F1 score surrogate loss for multilabel classification. Transactions on Machine Learning Research.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Ren, J., Yu, C., Sheng, S., Ma, X., Zhao, H., Yi, S., &amp; Li, H. (2020). Balanced meta-softmax for long-tailed visual recognition. In Advances in Neural Information Processing Systems (NeurIPS).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SemEval-2025 Task 6 organizers. (2025). SemEval-2025 Task 6: Multinational, multilingual, multi-industry promise verification (PromiseEval). In Proceedings of the 19th International Workshop on Semantic Evaluation (SemEval-2025).</w:t>
      </w:r>
    </w:p>
    <w:p>
      <w:pPr>
        <w:spacing w:after="80" w:before="0" w:line="240" w:lineRule="auto"/>
        <w:ind w:left="420" w:hanging="420"/>
      </w:pPr>
      <w:r>
        <w:rPr>
          <w:rFonts w:ascii="Times New Roman" w:hAnsi="Times New Roman" w:eastAsia="標楷體"/>
          <w:b w:val="0"/>
          <w:sz w:val="24"/>
        </w:rPr>
        <w:t>Leonardelli, E., et al. (2025). LeWiDi-2025: The third edition of the Learning With Disagreements shared task. arXiv:2510.08460.</w:t>
      </w:r>
    </w:p>
    <w:sectPr w:rsidR="00FC693F" w:rsidRPr="0006063C" w:rsidSect="00034616">
      <w:pgSz w:w="12240" w:h="15840"/>
      <w:pgMar w:top="1440" w:right="1701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