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用户价值与付费行为分析报告</w:t>
      </w:r>
    </w:p>
    <w:p>
      <w:pPr>
        <w:jc w:val="center"/>
      </w:pPr>
      <w:r>
        <w:rPr>
          <w:color w:val="64748B"/>
          <w:sz w:val="22"/>
        </w:rPr>
        <w:t>数据周期：2017-11-01 ~ 2017-12-14  |  聚焦用户付费转化、价值贡献与品类偏好分析</w:t>
      </w:r>
    </w:p>
    <w:p/>
    <w:p>
      <w:pPr>
        <w:pStyle w:val="Heading1"/>
      </w:pPr>
      <w:r>
        <w:t>一、核心付费指标概览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指标</w:t>
            </w:r>
          </w:p>
        </w:tc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数值</w:t>
            </w:r>
          </w:p>
        </w:tc>
        <w:tc>
          <w:tcPr>
            <w:tcW w:type="dxa" w:w="4252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总 UV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346,086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平台独立访客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付费 UV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9,945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至少有一次购买行为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非付费 UV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336,141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仅浏览/加购/收藏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付费率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2.87%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付费UV / 总UV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购买次数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10,077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总成交笔数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人均购买次数（付费用户）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1.01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复购水平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GMV（估算）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¥503,850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购买次数 × 假设客单价 ¥50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ARPU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¥1.46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GMV / 总UV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ARPPU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¥50.66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20"/>
              </w:rPr>
              <w:t>GMV / 付费UV</w:t>
            </w:r>
          </w:p>
        </w:tc>
      </w:tr>
    </w:tbl>
    <w:p>
      <w:r>
        <w:rPr>
          <w:i/>
        </w:rPr>
        <w:t>注：原始数据不含商品价格，GMV/ARPU/ARPPU 基于行业参考客单价 ¥50 估算，用于横向对比与趋势分析。</w:t>
      </w:r>
    </w:p>
    <w:p/>
    <w:p>
      <w:pPr>
        <w:pStyle w:val="Heading1"/>
      </w:pPr>
      <w:r>
        <w:t>二、付费率深度分析</w:t>
      </w:r>
    </w:p>
    <w:p>
      <w:pPr>
        <w:pStyle w:val="Heading2"/>
      </w:pPr>
      <w:r>
        <w:t>2.1 漏斗视角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环节</w:t>
            </w:r>
          </w:p>
        </w:tc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转化率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PV → 加购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6.16%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PV → 购买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2.25%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UV → 购买（付费率）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2.87%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加购 → 购买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36.48%</w:t>
            </w:r>
          </w:p>
        </w:tc>
      </w:tr>
    </w:tbl>
    <w:p>
      <w:r>
        <w:rPr>
          <w:b/>
        </w:rPr>
        <w:t>洞察：</w:t>
      </w:r>
    </w:p>
    <w:p>
      <w:pPr>
        <w:pStyle w:val="ListBullet"/>
      </w:pPr>
      <w:r>
        <w:t>整体付费率 2.87%，说明 97% 以上用户尚未完成购买，拉新与转化仍有巨大空间。</w:t>
      </w:r>
    </w:p>
    <w:p>
      <w:pPr>
        <w:pStyle w:val="ListBullet"/>
      </w:pPr>
      <w:r>
        <w:t>加购→购买转化率 36.48%，购物车放弃率较高，可通过限时优惠、运费减免促进下单。</w:t>
      </w:r>
    </w:p>
    <w:p>
      <w:pPr>
        <w:pStyle w:val="ListBullet"/>
      </w:pPr>
      <w:r>
        <w:t>ARPPU（¥50.7）显著高于 ARPU（¥1.46），付费用户价值高度集中，应重点维护高价值付费人群。</w:t>
      </w:r>
    </w:p>
    <w:p>
      <w:pPr>
        <w:pStyle w:val="Heading2"/>
      </w:pPr>
      <w:r>
        <w:t>2.2 付费 vs 非付费用户行为差异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行为类型</w:t>
            </w:r>
          </w:p>
        </w:tc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付费用户人均</w:t>
            </w:r>
          </w:p>
        </w:tc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非付费用户人均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浏览 (pv)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1.3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加购 (cart)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收藏 (fav)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购买 (buy)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</w:t>
            </w:r>
          </w:p>
        </w:tc>
      </w:tr>
    </w:tbl>
    <w:p>
      <w:r>
        <w:t>付费用户人均浏览次数低于非付费用户，但购买转化更果断，说明付费用户决策路径更短；非付费用户浏览更深但缺乏转化，应针对高加购/收藏用户（高意向待转化群）精准推送优惠促成首单。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三、日活（DAU）分析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指标</w:t>
            </w:r>
          </w:p>
        </w:tc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日均 DAU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17,013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DAU 峰值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63,865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DAU / UV 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132.73%（27天周期估算）</w:t>
            </w:r>
          </w:p>
        </w:tc>
      </w:tr>
    </w:tbl>
    <w:p>
      <w:r>
        <w:rPr>
          <w:b/>
        </w:rPr>
        <w:t>DAU 是衡量用户粘性的核心指标。建议：</w:t>
      </w:r>
    </w:p>
    <w:p>
      <w:pPr>
        <w:pStyle w:val="ListNumber"/>
      </w:pPr>
      <w:r>
        <w:t>建立 DAU 与 GMV 的关联监控，识别「活跃但不付费」用户群。</w:t>
      </w:r>
    </w:p>
    <w:p>
      <w:pPr>
        <w:pStyle w:val="ListNumber"/>
      </w:pPr>
      <w:r>
        <w:t>对 DAU 下降日期进行归因（节假日、竞品活动、系统故障等）。</w:t>
      </w:r>
    </w:p>
    <w:p>
      <w:pPr>
        <w:pStyle w:val="ListNumber"/>
      </w:pPr>
      <w:r>
        <w:t>通过签到、限时秒杀等手段提升 DAU，再经由漏斗转化为付费。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u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四、商品品类与用户行为关系</w:t>
      </w:r>
    </w:p>
    <w:p>
      <w:pPr>
        <w:pStyle w:val="Heading2"/>
      </w:pPr>
      <w:r>
        <w:t>4.1 TOP15 品类流量与转化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品类ID</w:t>
            </w:r>
          </w:p>
        </w:tc>
        <w:tc>
          <w:tcPr>
            <w:tcW w:type="dxa" w:w="188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PV</w:t>
            </w:r>
          </w:p>
        </w:tc>
        <w:tc>
          <w:tcPr>
            <w:tcW w:type="dxa" w:w="188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购买</w:t>
            </w:r>
          </w:p>
        </w:tc>
        <w:tc>
          <w:tcPr>
            <w:tcW w:type="dxa" w:w="188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CVR</w:t>
            </w:r>
          </w:p>
        </w:tc>
        <w:tc>
          <w:tcPr>
            <w:tcW w:type="dxa" w:w="188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UV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1464116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3,454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5.18%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3,956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2735466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5,480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3.14%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6,066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2885642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4,675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3.29%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4,987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4145813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15,703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0.89%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16,132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4756105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22,305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0.61%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22,004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4801426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9,245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1.46%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9,839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982926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14,047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0.92%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14,505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4159072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9.77%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1,138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2640118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3,588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2.40%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3,855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4217906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4,571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1.79%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4,943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1320293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8,947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0.87%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9,401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570735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3,017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2.55%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3,305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2465336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7,605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0.99%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7,895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3002561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7,103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1.04%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7,499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903809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1,669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4.31%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1,871</w:t>
            </w:r>
          </w:p>
        </w:tc>
      </w:tr>
    </w:tbl>
    <w:p>
      <w:pPr>
        <w:pStyle w:val="Heading2"/>
      </w:pPr>
      <w:r>
        <w:t>4.2 品类洞察</w:t>
      </w:r>
    </w:p>
    <w:p>
      <w:pPr>
        <w:pStyle w:val="ListNumber"/>
      </w:pPr>
      <w:r>
        <w:t>高流量高转化品类：CVR 高于均值（4.54%）的品类应加大曝光与库存，作为 GMV 主力。</w:t>
      </w:r>
    </w:p>
    <w:p>
      <w:pPr>
        <w:pStyle w:val="ListNumber"/>
      </w:pPr>
      <w:r>
        <w:t>高流量低转化品类：PV 高但 CVR 低，需优化详情页、定价或评价；同时是广告投放的重点（商家愿为曝光付费）。</w:t>
      </w:r>
    </w:p>
    <w:p>
      <w:pPr>
        <w:pStyle w:val="ListNumber"/>
      </w:pPr>
      <w:r>
        <w:t>低流量高转化品类：适合精准推荐与「猜你喜欢」，以长尾策略提升整体 CVR。</w:t>
      </w:r>
    </w:p>
    <w:p>
      <w:pPr>
        <w:pStyle w:val="Heading2"/>
      </w:pPr>
      <w:r>
        <w:t>4.3 付费用户偏好品类 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品类ID</w:t>
            </w:r>
          </w:p>
        </w:tc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购买次数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1464116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179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2735466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172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2885642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4145813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140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4756105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4801426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982926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4159072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2640118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4217906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top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五、业务策略建议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方向</w:t>
            </w:r>
          </w:p>
        </w:tc>
        <w:tc>
          <w:tcPr>
            <w:tcW w:type="dxa" w:w="31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策略</w:t>
            </w:r>
          </w:p>
        </w:tc>
        <w:tc>
          <w:tcPr>
            <w:tcW w:type="dxa" w:w="31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预期效果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提升付费率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加购用户 24h 内推送优惠券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提升加购→购买转化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提升 ARPPU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满减凑单、关联推荐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提升客单价与复购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提升 ARPU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扩大付费用户基数（新人首单）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从 2.87% 付费率向 5%+ 迈进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品类运营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重点运营高 CVR 品类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优化 GMV 结构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会员体系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面向 RFM「重要价值」用户推会员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锁定高 LTV 用户</w:t>
            </w:r>
          </w:p>
        </w:tc>
      </w:tr>
    </w:tbl>
    <w:p/>
    <w:p>
      <w:pPr>
        <w:jc w:val="center"/>
      </w:pPr>
      <w:r>
        <w:rPr>
          <w:color w:val="94A3B8"/>
          <w:sz w:val="18"/>
        </w:rPr>
        <w:t>— 报告由用户行为数据分析系统自动生成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