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用户分层画像及差异化运营策略建议</w:t>
      </w:r>
    </w:p>
    <w:p>
      <w:pPr>
        <w:jc w:val="center"/>
      </w:pPr>
      <w:r>
        <w:rPr>
          <w:color w:val="64748B"/>
          <w:sz w:val="22"/>
        </w:rPr>
        <w:t>分析基准日：2017-12-14  |  共 346,086 名用户  |  基于 RFM 模型的用户价值分层与运营策略</w:t>
      </w:r>
    </w:p>
    <w:p/>
    <w:p>
      <w:pPr>
        <w:pStyle w:val="Heading1"/>
      </w:pPr>
      <w:r>
        <w:t>一、RFM 模型说明</w:t>
      </w:r>
    </w:p>
    <w:p>
      <w:r>
        <w:t>RFM 模型是用户价值分析的经典框架，通过最近一次活跃（R）、购买频次（F）和消费金额（M）三个维度对用户进行打分与分层，为差异化运营提供依据。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维度</w:t>
            </w:r>
          </w:p>
        </w:tc>
        <w:tc>
          <w:tcPr>
            <w:tcW w:type="dxa" w:w="170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英文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含义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打分规则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Recency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最近一次活跃距今天数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越近分数越高（1–5 分）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F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Frequency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购买频次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越高分数越高（1–5 分）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0"/>
              </w:rPr>
              <w:t>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Monetary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购买金额/次数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越高分数越高（1–5 分）</w:t>
            </w:r>
          </w:p>
        </w:tc>
      </w:tr>
    </w:tbl>
    <w:p/>
    <w:p>
      <w:pPr>
        <w:pStyle w:val="Heading1"/>
      </w:pPr>
      <w:r>
        <w:t>二、用户分层分布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用户分层</w:t>
            </w:r>
          </w:p>
        </w:tc>
        <w:tc>
          <w:tcPr>
            <w:tcW w:type="dxa" w:w="1417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用户数</w:t>
            </w:r>
          </w:p>
        </w:tc>
        <w:tc>
          <w:tcPr>
            <w:tcW w:type="dxa" w:w="113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占比</w:t>
            </w:r>
          </w:p>
        </w:tc>
        <w:tc>
          <w:tcPr>
            <w:tcW w:type="dxa" w:w="170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平均购买次数</w:t>
            </w:r>
          </w:p>
        </w:tc>
        <w:tc>
          <w:tcPr>
            <w:tcW w:type="dxa" w:w="198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平均最近活跃(天)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高意向待转化用户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142,741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41.24%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16.0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活跃未付费用户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126,344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36.51%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12.1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沉睡用户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67,056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19.38%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10.2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一般挽留用户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3,930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1.14%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11.6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重要保持用户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2,304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0.67%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11.3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一般发展用户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2,037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0.59%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16.2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重要价值用户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1,674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0.48%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15.9</w:t>
            </w:r>
          </w:p>
        </w:tc>
      </w:tr>
    </w:tbl>
    <w:p>
      <w:r>
        <w:t>结构解读：未付费用户合计占比 97.1%（高意向待转化 + 活跃未付费 + 沉睡），是平台付费率提升的主要潜力池；已付费用户虽仅占少数，但贡献核心 GMV。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三、各分层用户画像</w:t>
      </w:r>
    </w:p>
    <w:p>
      <w:pPr>
        <w:pStyle w:val="Heading2"/>
      </w:pPr>
      <w:r>
        <w:t>高意向待转化用户</w:t>
      </w:r>
    </w:p>
    <w:p>
      <w:r>
        <w:rPr>
          <w:sz w:val="22"/>
        </w:rPr>
        <w:t>有加购或收藏行为但未完成支付，处于转化漏斗最后一环，转化 ROI 最高。</w:t>
      </w:r>
    </w:p>
    <w:p>
      <w:pPr>
        <w:pStyle w:val="Heading2"/>
      </w:pPr>
      <w:r>
        <w:t>活跃未付费用户</w:t>
      </w:r>
    </w:p>
    <w:p>
      <w:r>
        <w:rPr>
          <w:sz w:val="22"/>
        </w:rPr>
        <w:t>近期有浏览活跃但无购买记录，可通过首单优惠引导转化。</w:t>
      </w:r>
    </w:p>
    <w:p>
      <w:pPr>
        <w:pStyle w:val="Heading2"/>
      </w:pPr>
      <w:r>
        <w:t>沉睡用户</w:t>
      </w:r>
    </w:p>
    <w:p>
      <w:r>
        <w:rPr>
          <w:sz w:val="22"/>
        </w:rPr>
        <w:t>长期未活跃且无消费，对短期 GMV 贡献低，宜低成本的批量唤醒。</w:t>
      </w:r>
    </w:p>
    <w:p>
      <w:pPr>
        <w:pStyle w:val="Heading2"/>
      </w:pPr>
      <w:r>
        <w:t>一般挽留用户</w:t>
      </w:r>
    </w:p>
    <w:p>
      <w:r>
        <w:rPr>
          <w:sz w:val="22"/>
        </w:rPr>
        <w:t>历史有消费但长期未回归，需挽回策略。</w:t>
      </w:r>
    </w:p>
    <w:p>
      <w:pPr>
        <w:pStyle w:val="Heading2"/>
      </w:pPr>
      <w:r>
        <w:t>重要保持用户</w:t>
      </w:r>
    </w:p>
    <w:p>
      <w:r>
        <w:rPr>
          <w:sz w:val="22"/>
        </w:rPr>
        <w:t>历史消费高但最近活跃度下降，存在流失风险，需及时唤醒。</w:t>
      </w:r>
    </w:p>
    <w:p>
      <w:pPr>
        <w:pStyle w:val="Heading2"/>
      </w:pPr>
      <w:r>
        <w:t>一般发展用户</w:t>
      </w:r>
    </w:p>
    <w:p>
      <w:r>
        <w:rPr>
          <w:sz w:val="22"/>
        </w:rPr>
        <w:t>近期活跃、购买次数少，处于培养期。</w:t>
      </w:r>
    </w:p>
    <w:p>
      <w:pPr>
        <w:pStyle w:val="Heading2"/>
      </w:pPr>
      <w:r>
        <w:t>重要价值用户</w:t>
      </w:r>
    </w:p>
    <w:p>
      <w:r>
        <w:rPr>
          <w:sz w:val="22"/>
        </w:rPr>
        <w:t>近期活跃、高频购买、消费力强。是平台 GMV 核心贡献者。</w:t>
      </w:r>
    </w:p>
    <w:p/>
    <w:p>
      <w:pPr>
        <w:pStyle w:val="Heading1"/>
      </w:pPr>
      <w:r>
        <w:t>四、差异化运营策略建议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用户分层</w:t>
            </w:r>
          </w:p>
        </w:tc>
        <w:tc>
          <w:tcPr>
            <w:tcW w:type="dxa" w:w="1417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策略方向</w:t>
            </w:r>
          </w:p>
        </w:tc>
        <w:tc>
          <w:tcPr>
            <w:tcW w:type="dxa" w:w="510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20"/>
              </w:rPr>
              <w:t>具体措施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高意向待转化用户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加购/收藏后 24h 内推送限时优惠券；购物车降价提醒，促进首单转化。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活跃未付费用户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新人首单立减、品类试用券；通过精准推荐降低决策门槛。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沉睡用户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低成本短信/邮件唤醒；超过 30 天无行为可暂停投放，控制获客成本。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一般挽留用户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低成本自动化触达；对长期无行为用户可暂停营销节省成本。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重要保持用户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定期唤醒（短信/Push）、限时秒杀；用积分体系拉回最近活跃度。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一般发展用户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精准商品推荐 + 低门槛优惠券；引导完成首单或第二单。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重要价值用户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精准营销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20"/>
              </w:rPr>
              <w:t>VIP 专属权益、会员优先客服、新品首发邀请；维持高粘性，防止流失至竞品。</w:t>
            </w:r>
          </w:p>
        </w:tc>
      </w:tr>
    </w:tbl>
    <w:p/>
    <w:p>
      <w:pPr>
        <w:pStyle w:val="Heading1"/>
      </w:pPr>
      <w:r>
        <w:t>五、营销优先级矩阵</w:t>
      </w:r>
    </w:p>
    <w:p>
      <w:pPr>
        <w:jc w:val="center"/>
      </w:pPr>
      <w:r>
        <w:rPr>
          <w:rFonts w:ascii="Courier New" w:hAnsi="Courier New"/>
          <w:sz w:val="22"/>
        </w:rPr>
        <w:t xml:space="preserve">        高消费 (M)</w:t>
        <w:br/>
        <w:t xml:space="preserve">          ↑</w:t>
        <w:br/>
        <w:t xml:space="preserve">  重要挽留 ← → 重要价值</w:t>
        <w:br/>
        <w:t xml:space="preserve">  重要保持 ← → 重要发展</w:t>
        <w:br/>
        <w:t xml:space="preserve">          ↓</w:t>
        <w:br/>
        <w:t xml:space="preserve">        低消费</w:t>
      </w:r>
    </w:p>
    <w:p/>
    <w:p>
      <w:r>
        <w:rPr>
          <w:b/>
        </w:rPr>
        <w:t>执行建议：</w:t>
      </w:r>
    </w:p>
    <w:p>
      <w:pPr>
        <w:pStyle w:val="ListNumber"/>
      </w:pPr>
      <w:r>
        <w:t>第一优先级：重要价值 + 重要挽留（高 M），投入 40% 营销预算。</w:t>
      </w:r>
    </w:p>
    <w:p>
      <w:pPr>
        <w:pStyle w:val="ListNumber"/>
      </w:pPr>
      <w:r>
        <w:t>第二优先级：重要发展 + 重要保持，投入 35% 预算，聚焦提升 F 和 R。</w:t>
      </w:r>
    </w:p>
    <w:p>
      <w:pPr>
        <w:pStyle w:val="ListNumber"/>
      </w:pPr>
      <w:r>
        <w:t>第三优先级：一般用户群，以自动化运营为主，投入 25% 预算。</w:t>
      </w:r>
    </w:p>
    <w:p>
      <w:pPr>
        <w:pStyle w:val="ListNumber"/>
      </w:pPr>
      <w:r>
        <w:t>补充建议：高意向待转化用户虽不在 RFM 付费矩阵内，但转化 ROI 极高，建议在预算中单独划出 10–15% 用于加购/收藏用户的限时促单。</w:t>
      </w:r>
    </w:p>
    <w:p/>
    <w:p>
      <w:pPr>
        <w:jc w:val="center"/>
      </w:pPr>
      <w:r>
        <w:rPr>
          <w:color w:val="94A3B8"/>
          <w:sz w:val="18"/>
        </w:rPr>
        <w:t>— 报告由用户行为数据分析系统自动生成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