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80"/>
        <w:jc w:val="center"/>
      </w:pPr>
      <w:r>
        <w:rPr>
          <w:rFonts w:ascii="Times New Roman" w:hAnsi="Times New Roman" w:eastAsia="宋体"/>
          <w:b/>
          <w:color w:val="1F4E79"/>
          <w:sz w:val="44"/>
        </w:rPr>
        <w:t>门店补货决策与异常监控报告</w:t>
      </w:r>
    </w:p>
    <w:p>
      <w:pPr>
        <w:spacing w:line="360" w:lineRule="auto" w:after="240"/>
        <w:jc w:val="center"/>
      </w:pPr>
      <w:r>
        <w:rPr>
          <w:rFonts w:ascii="Times New Roman" w:hAnsi="Times New Roman" w:eastAsia="宋体"/>
          <w:b w:val="0"/>
          <w:color w:val="595959"/>
          <w:sz w:val="24"/>
        </w:rPr>
        <w:t>报告日期：2026-07-12</w:t>
      </w:r>
    </w:p>
    <w:p>
      <w:pPr>
        <w:spacing w:before="28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摘要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2"/>
        </w:rPr>
        <w:t>本报告基于三家门店单日交易数据，围绕两个问题展开分析：一是识别销量、价格与退货中的异常情况；二是在异常信息基础上，给出可执行的补货参考，包括备用库存、补货触发水位及建议补货量。分析路径为：识别异常 → 清理极端值 → 估计正常销量水平与波动 → 计算补货参数 → 结合异常类型进行动态调整，并与预测结果相互对照。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2"/>
        </w:rPr>
        <w:t>主要结果如下：约 23.3% 的交易被判定为值得关注的异常；在按小时进行的库存推演中，共有 9 个「门店—小时」组合达到补货触发条件。下文默认假设到货提前期为 2 小时，服务目标为约 95% 的时间不出现缺货。</w:t>
      </w:r>
    </w:p>
    <w:p>
      <w:pPr>
        <w:spacing w:before="28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一、基本概念说明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2"/>
        </w:rPr>
        <w:t>为便于阅读，现将报告中出现的主要概念说明如下。理解这些概念后，后续表格可直接对照使用。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概念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含义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在决策中的作用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异常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与常态差异显著的交易或时段，包括销量偏高、销量偏低、单价异常及退货异常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提示是否需要临时调整备货，或先核查业务原因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平均销量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单位时间内的正常销量水平（本报告以小时计）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用于估计等待到货期间可能消耗的数量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销量波动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销量起伏的幅度；数值越大，表示越不稳定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波动较大时，应保留更多备用库存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安全库存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为应对需求波动而预留的缓冲库存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波动越大、缺货容忍度越低，安全库存越高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再订货点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库存下降至该水平时，应启动补货或调拨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低于该水平应补货，高于该水平可暂缓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建议订货量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单次补货较合理的参考数量，兼顾补货频次与库存积压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可作为订货批量参考，并结合货架与仓配能力微调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服务水平 95%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以约 95% 的概率满足需求、避免缺货为目标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若更重视不断货，可提高至 99%，但库存成本将上升</w:t>
            </w:r>
          </w:p>
        </w:tc>
      </w:tr>
    </w:tbl>
    <w:p/>
    <w:p>
      <w:pPr>
        <w:spacing w:before="28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二、异常识别结果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2"/>
        </w:rPr>
        <w:t>异常判定采用多种方法交叉验证：仅当至少两种方法同时提示异常时，才记为有效异常，以降低误报。据此统计，异常交易约占全部交易的 23.3%。异常按业务含义分为四类，不同类型对应不同的补货处理原则。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异常类型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笔数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占比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建议处理方式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正常交易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2576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74.1%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维持常规补货节奏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销量异常偏高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440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12.7%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可酌情提高备货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单价异常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274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7.9%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先核对价签与系统记录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销量异常偏低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173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宜减少或暂缓补货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退货异常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0.4%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先排查商品质量，不宜据此加订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2"/>
        </w:rPr>
        <w:t>总体原则是：销量异常偏高时可适当增加备货；销量异常偏低或退货增多时宜谨慎加订；单价异常应先核查系统与价签，不宜直接解释为需求变化。</w:t>
      </w:r>
    </w:p>
    <w:p>
      <w:pPr>
        <w:spacing w:before="28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三、需求数据清理及其影响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2"/>
        </w:rPr>
        <w:t>若直接使用含极端值的原始销量估计「正常水平」，安全库存容易被高估或低估，进而造成积压或缺货。因此，本报告先对异常时段的销量进行适度压缩处理，再据此估计平均销量与波动，作为补货计算的基础。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门店</w:t>
            </w:r>
          </w:p>
        </w:tc>
        <w:tc>
          <w:tcPr>
            <w:tcW w:type="dxa" w:w="1176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清理前平均销量/小时</w:t>
            </w:r>
          </w:p>
        </w:tc>
        <w:tc>
          <w:tcPr>
            <w:tcW w:type="dxa" w:w="1176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清理后平均销量/小时</w:t>
            </w:r>
          </w:p>
        </w:tc>
        <w:tc>
          <w:tcPr>
            <w:tcW w:type="dxa" w:w="1176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清理前波动</w:t>
            </w:r>
          </w:p>
        </w:tc>
        <w:tc>
          <w:tcPr>
            <w:tcW w:type="dxa" w:w="1176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清理后波动</w:t>
            </w:r>
          </w:p>
        </w:tc>
        <w:tc>
          <w:tcPr>
            <w:tcW w:type="dxa" w:w="1176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波动降幅</w:t>
            </w:r>
          </w:p>
        </w:tc>
        <w:tc>
          <w:tcPr>
            <w:tcW w:type="dxa" w:w="1176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异常时段数</w:t>
            </w:r>
          </w:p>
        </w:tc>
        <w:tc>
          <w:tcPr>
            <w:tcW w:type="dxa" w:w="1176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高峰时段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CDLG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132.7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130.2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109.3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101.6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7.0%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 时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CDNL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100.4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100.7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49.2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48.8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0.9%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 时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CDXL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143.5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139.1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117.6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108.4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7.8%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 时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2"/>
        </w:rPr>
        <w:t>以 CDXL 为例，清理后销量波动下降约 7.8%，说明剔除极端值后，对日常需求稳定性的判断更为可靠。</w:t>
      </w:r>
    </w:p>
    <w:p>
      <w:pPr>
        <w:spacing w:before="28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四、补货参数测算（服务水平 95%）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2"/>
        </w:rPr>
        <w:t>测算假设到货提前期为 2 小时。再订货点由两部分构成：提前期内的预计销量，以及用于应对波动的安全库存。当库存降至再订货点附近时，建议启动补货。下表为三家门店在 95% 服务水平下的主要结果。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门店</w:t>
            </w:r>
          </w:p>
        </w:tc>
        <w:tc>
          <w:tcPr>
            <w:tcW w:type="dxa" w:w="1568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平均销量/小时</w:t>
            </w:r>
          </w:p>
        </w:tc>
        <w:tc>
          <w:tcPr>
            <w:tcW w:type="dxa" w:w="1568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销量波动</w:t>
            </w:r>
          </w:p>
        </w:tc>
        <w:tc>
          <w:tcPr>
            <w:tcW w:type="dxa" w:w="1568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安全库存</w:t>
            </w:r>
          </w:p>
        </w:tc>
        <w:tc>
          <w:tcPr>
            <w:tcW w:type="dxa" w:w="1568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再订货点</w:t>
            </w:r>
          </w:p>
        </w:tc>
        <w:tc>
          <w:tcPr>
            <w:tcW w:type="dxa" w:w="1568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建议订货量（参考）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CDLG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130.2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101.6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236.3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496.6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3291.7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CDNL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100.7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48.8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113.5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314.8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2633.0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CDXL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139.1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108.4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252.1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530.4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3318.7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2"/>
        </w:rPr>
        <w:t>阅读时建议重点关注两列：再订货点决定「何时补货」，建议订货量决定「一次补多少」。若经营上更不能接受缺货，可将服务水平由 95% 提高至 99%，安全库存与再订货点将相应上升，但库存占用成本也会增加。</w:t>
      </w:r>
    </w:p>
    <w:p>
      <w:pPr>
        <w:spacing w:before="28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五、异常情形下的动态调整与预测对照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2"/>
        </w:rPr>
        <w:t>补货参数不宜一成不变。当某时段出现明显异常时，应按异常类型调整策略：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2"/>
        </w:rPr>
        <w:t>销量异常偏高时，可临时提高再订货点，降低断货风险；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2"/>
        </w:rPr>
        <w:t>销量异常偏低时，宜减少补货量或暂缓补货，避免库存积压；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2"/>
        </w:rPr>
        <w:t>退货明显增多时，应优先核查商品与质量问题，暂停据此加订。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2"/>
        </w:rPr>
        <w:t>按当日小时维度进行库存推演，共有 9 个时段达到补货触发条件。此外，本报告以清理后的销量序列建立预测模型，计算预测型再订货点，并与固定规则下的再订货点进行对照，供决策时综合参考。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门店</w:t>
            </w:r>
          </w:p>
        </w:tc>
        <w:tc>
          <w:tcPr>
            <w:tcW w:type="dxa" w:w="1568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选用模型</w:t>
            </w:r>
          </w:p>
        </w:tc>
        <w:tc>
          <w:tcPr>
            <w:tcW w:type="dxa" w:w="1568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提前期预计销量</w:t>
            </w:r>
          </w:p>
        </w:tc>
        <w:tc>
          <w:tcPr>
            <w:tcW w:type="dxa" w:w="1568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预测型再订货点</w:t>
            </w:r>
          </w:p>
        </w:tc>
        <w:tc>
          <w:tcPr>
            <w:tcW w:type="dxa" w:w="1568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规则型再订货点（95%）</w:t>
            </w:r>
          </w:p>
        </w:tc>
        <w:tc>
          <w:tcPr>
            <w:tcW w:type="dxa" w:w="1568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二者差额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CDLG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梯度提升模型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87.4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241.7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496.6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-254.9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CDNL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岭回归模型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239.5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313.4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314.8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-1.4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CDXL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岭回归模型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160.9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294.2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530.4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-236.2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2"/>
        </w:rPr>
        <w:t>若两类再订货点差异较大，不宜简单取某一数值，而应结合当日是否处于高峰或异常时段审慎决定：偏重保供时可适当上调，偏重控库存时可适当下调。其中，CDNL 两类结果接近，说明该店当日需求相对易于把握；CDLG 与 CDXL 差异较大，更宜结合现场高峰情况综合判断。</w:t>
      </w:r>
    </w:p>
    <w:p>
      <w:pPr>
        <w:spacing w:before="28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六、管理建议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2"/>
        </w:rPr>
        <w:t>1. 建立日常异常清单，区分销量偏高、销量偏低、单价异常与退货异常，分类处置，避免统一加订。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2"/>
        </w:rPr>
        <w:t>2. 补货参数应基于清理后的销量估计，减少极端值对安全库存的干扰。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2"/>
        </w:rPr>
        <w:t>3. 在早高峰与晚高峰（约 8–10 时、17–19 时）提前检查库存是否接近再订货点。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2"/>
        </w:rPr>
        <w:t>4. 对畅销商品优先保障供应；对退货率或异常率偏高的商品，应复核后再决定是否补货。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2"/>
        </w:rPr>
        <w:t>5. 受单日数据限制，本结论偏重方法演示。建议继续积累不少于 30 天的数据，将分析粒度由小时扩展至日，并依据真实到货周期校准参数。</w:t>
      </w:r>
    </w:p>
    <w:p>
      <w:pPr>
        <w:spacing w:before="28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七、与原分析方法的比较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原方法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本报告方法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侧重识别异常并提示风险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在识别异常的同时，明确对应的补货调整方向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补货建议多为原则性表述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给出安全库存、再订货点与建议订货量等可执行指标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异常监测与销量预测相对独立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先清理数据，再预测需求，再据此设定补货水位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较少区分单品风险差异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结合异常与退货情况，区分优先保障与审慎补货商品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color w:val="595959"/>
          <w:sz w:val="20"/>
        </w:rPr>
        <w:t>说明：因现有数据为单日交易明细，本报告以「门店×小时」作为补货周期进行方法演示。实际应用时，应替换为业务真实的补货频率及仓配到货时间，并对参数重新标定。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