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</w:rPr>
        <w:t>用户行为流量漏斗分析看板</w:t>
      </w:r>
    </w:p>
    <w:p>
      <w:pPr>
        <w:jc w:val="center"/>
      </w:pPr>
      <w:r>
        <w:rPr>
          <w:color w:val="64748B"/>
          <w:sz w:val="22"/>
        </w:rPr>
        <w:t>数据周期：2017-11-01 ~ 2017-12-14  |  平台视角：拉新 → 留存 → 活跃 → 转化 → 付费</w:t>
      </w:r>
    </w:p>
    <w:p/>
    <w:p>
      <w:pPr>
        <w:pStyle w:val="Heading1"/>
      </w:pPr>
      <w:r>
        <w:t>一、核心 KPI 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指标</w:t>
            </w:r>
          </w:p>
        </w:tc>
        <w:tc>
          <w:tcPr>
            <w:tcW w:type="dxa" w:w="226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数值</w:t>
            </w:r>
          </w:p>
        </w:tc>
        <w:tc>
          <w:tcPr>
            <w:tcW w:type="dxa" w:w="4252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PV 页面浏览量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448,080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流量规模，反映曝光量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UV 独立访客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346,086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触达用户广度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DAU 日均活跃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17,013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峰值 63,865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CTR 意向率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9.34%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(加购+收藏)/PV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CVR 购买转化率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2.25%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购买/PV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GMV 成交总额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¥503,850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假设客单价 ¥50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付费率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2.87%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付费UV/总UV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ARPPU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¥50.7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ARPU ¥1.46</w:t>
            </w:r>
          </w:p>
        </w:tc>
      </w:tr>
    </w:tbl>
    <w:p/>
    <w:p>
      <w:pPr>
        <w:pStyle w:val="Heading1"/>
      </w:pPr>
      <w:r>
        <w:t>二、行为转化漏斗（次数）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漏斗阶段</w:t>
            </w:r>
          </w:p>
        </w:tc>
        <w:tc>
          <w:tcPr>
            <w:tcW w:type="dxa" w:w="235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行为次数</w:t>
            </w:r>
          </w:p>
        </w:tc>
        <w:tc>
          <w:tcPr>
            <w:tcW w:type="dxa" w:w="235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占 PV 比例</w:t>
            </w:r>
          </w:p>
        </w:tc>
        <w:tc>
          <w:tcPr>
            <w:tcW w:type="dxa" w:w="235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业务含义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浏览 (PV)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448,080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100.00%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基准流量层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加购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27,622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6.16%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用户产生购买意向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收藏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14,210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3.17%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用户标记感兴趣商品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购买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10,077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2.25%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完成交易转化</w:t>
            </w:r>
          </w:p>
        </w:tc>
      </w:tr>
    </w:tbl>
    <w:p>
      <w:r>
        <w:rPr>
          <w:b/>
        </w:rPr>
        <w:t>加购→购买转化率：36.48%</w:t>
      </w:r>
      <w:r>
        <w:t xml:space="preserve">  |  说明：加购用户中约三分之一最终完成购买，是运营促转化的重点人群。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三、用户漏斗（UV）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阶段</w:t>
            </w:r>
          </w:p>
        </w:tc>
        <w:tc>
          <w:tcPr>
            <w:tcW w:type="dxa" w:w="3135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用户数</w:t>
            </w:r>
          </w:p>
        </w:tc>
        <w:tc>
          <w:tcPr>
            <w:tcW w:type="dxa" w:w="3135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阶段转化率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活跃 UV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346,086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有加购行为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26,627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7.69%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有收藏行为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13,539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3.91%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付费 UV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9,945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2.87%</w:t>
            </w:r>
          </w:p>
        </w:tc>
      </w:tr>
    </w:tbl>
    <w:p>
      <w:r>
        <w:rPr>
          <w:b/>
        </w:rPr>
        <w:t>D1 留存率均值：3.53%  |  D7 留存率均值：3.51%</w:t>
      </w:r>
    </w:p>
    <w:p>
      <w:r>
        <w:t>留存解读：次日与 7 日留存率均处于较低水平，说明用户粘性不足，需通过签到、限时活动等手段提升回访率，为后续转化蓄水。</w:t>
      </w:r>
    </w:p>
    <w:p/>
    <w:p>
      <w:pPr>
        <w:pStyle w:val="Heading1"/>
      </w:pPr>
      <w:r>
        <w:t>四、活跃与拉新趋势</w:t>
      </w:r>
    </w:p>
    <w:p>
      <w:r>
        <w:rPr>
          <w:b/>
        </w:rPr>
        <w:t>DAU 日活跃趋势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u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趋势解读：11 月下旬起 DAU 出现爆发式增长（峰值 63,865），与大规模拉新活动高度相关，需关注后续留存与转化承接。</w:t>
      </w:r>
    </w:p>
    <w:p/>
    <w:p>
      <w:r>
        <w:rPr>
          <w:b/>
        </w:rPr>
        <w:t>每日新用户（拉新）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users_dai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五、平台盈利模式与数据映射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盈利模式</w:t>
            </w:r>
          </w:p>
        </w:tc>
        <w:tc>
          <w:tcPr>
            <w:tcW w:type="dxa" w:w="3969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说明</w:t>
            </w:r>
          </w:p>
        </w:tc>
        <w:tc>
          <w:tcPr>
            <w:tcW w:type="dxa" w:w="31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本数据映射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交易佣金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0"/>
              </w:rPr>
              <w:t>平台从商家每笔订单抽取佣金（外卖约 15–20%）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购买行为 × 佣金率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广告收入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0"/>
              </w:rPr>
              <w:t>商家竞价排名、品牌专区、信息流广告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高 PV 低转化品类适合广告投放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会员订阅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0"/>
              </w:rPr>
              <w:t>月卡/年卡，提升用户 LTV 与复购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高 RFM 分用户是会员转化目标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配送/增值服务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0"/>
              </w:rPr>
              <w:t>配送费、保险、金融等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提升客单价与 ARPPU</w:t>
            </w:r>
          </w:p>
        </w:tc>
      </w:tr>
    </w:tbl>
    <w:p/>
    <w:p>
      <w:pPr>
        <w:pStyle w:val="Heading1"/>
      </w:pPr>
      <w:r>
        <w:t>六、核心术语说明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术语</w:t>
            </w:r>
          </w:p>
        </w:tc>
        <w:tc>
          <w:tcPr>
            <w:tcW w:type="dxa" w:w="2835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公式</w:t>
            </w:r>
          </w:p>
        </w:tc>
        <w:tc>
          <w:tcPr>
            <w:tcW w:type="dxa" w:w="4819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业务含义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PV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页面浏览次数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0"/>
              </w:rPr>
              <w:t>流量规模，反映曝光量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UV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独立访客数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0"/>
              </w:rPr>
              <w:t>触达用户广度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DAU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日活跃用户数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0"/>
              </w:rPr>
              <w:t>用户粘性核心指标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CTR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点击/意向 ÷ 曝光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0"/>
              </w:rPr>
              <w:t>内容或商品吸引力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CVR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转化 ÷ 流量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0"/>
              </w:rPr>
              <w:t>漏斗效率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GMV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成交总额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0"/>
              </w:rPr>
              <w:t>平台交易规模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ARPU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总收入 ÷ 总用户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0"/>
              </w:rPr>
              <w:t>单用户平均贡献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ARPPU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总收入 ÷ 付费用户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20"/>
              </w:rPr>
              <w:t>付费用户价值深度</w:t>
            </w:r>
          </w:p>
        </w:tc>
      </w:tr>
    </w:tbl>
    <w:p/>
    <w:p>
      <w:pPr>
        <w:pStyle w:val="Heading1"/>
      </w:pPr>
      <w:r>
        <w:t>七、关键业务洞察</w:t>
      </w:r>
    </w:p>
    <w:p>
      <w:pPr>
        <w:pStyle w:val="ListNumber"/>
      </w:pPr>
      <w:r>
        <w:t>整体购买转化率 CVR 为 2.25%，付费率 2.87%，平台仍有较大转化提升空间。</w:t>
      </w:r>
    </w:p>
    <w:p>
      <w:pPr>
        <w:pStyle w:val="ListNumber"/>
      </w:pPr>
      <w:r>
        <w:t>意向率 CTR 达 9.34%，说明商品/内容具有一定吸引力，瓶颈主要在「意向→购买」环节（加购→购买转化率 36.48%）。</w:t>
      </w:r>
    </w:p>
    <w:p>
      <w:pPr>
        <w:pStyle w:val="ListNumber"/>
      </w:pPr>
      <w:r>
        <w:t>ARPPU ¥50.7 远高于 ARPU ¥1.46，付费用户价值显著高于整体用户，应聚焦高意向人群精准促转化。</w:t>
      </w:r>
    </w:p>
    <w:p>
      <w:pPr>
        <w:pStyle w:val="ListNumber"/>
      </w:pPr>
      <w:r>
        <w:t>D1/D7 留存率均值约 3.53%，拉新后留存是制约 LTV 的关键短板。</w:t>
      </w:r>
    </w:p>
    <w:p>
      <w:pPr>
        <w:pStyle w:val="ListNumber"/>
      </w:pPr>
      <w:r>
        <w:t>建议对加购未购用户实施 24h 内优惠券推送，对高流量低转化品类加大详情页优化与广告投放。</w:t>
      </w:r>
    </w:p>
    <w:p/>
    <w:p>
      <w:pPr>
        <w:jc w:val="center"/>
      </w:pPr>
      <w:r>
        <w:rPr>
          <w:color w:val="94A3B8"/>
          <w:sz w:val="18"/>
        </w:rPr>
        <w:t>— 报告由用户行为数据分析系统自动生成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