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F7E07"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门店销量预测与异常监控报告</w:t>
      </w:r>
    </w:p>
    <w:p w14:paraId="28207792"/>
    <w:p w14:paraId="68EC7C93">
      <w:bookmarkStart w:id="0" w:name="_GoBack"/>
      <w:bookmarkEnd w:id="0"/>
    </w:p>
    <w:p w14:paraId="57140EB5">
      <w:pPr>
        <w:jc w:val="center"/>
      </w:pPr>
      <w:r>
        <w:rPr>
          <w:rFonts w:ascii="微软雅黑" w:hAnsi="微软雅黑" w:eastAsia="微软雅黑"/>
          <w:sz w:val="24"/>
        </w:rPr>
        <w:t>报告日期：2026-07-01</w:t>
      </w:r>
    </w:p>
    <w:p w14:paraId="11761F6F">
      <w:pPr>
        <w:jc w:val="center"/>
      </w:pPr>
      <w:r>
        <w:rPr>
          <w:rFonts w:ascii="微软雅黑" w:hAnsi="微软雅黑" w:eastAsia="微软雅黑"/>
          <w:sz w:val="24"/>
        </w:rPr>
        <w:t>数据日期：2017-01-03</w:t>
      </w:r>
    </w:p>
    <w:p w14:paraId="7F01A03C">
      <w:pPr>
        <w:jc w:val="center"/>
      </w:pPr>
      <w:r>
        <w:rPr>
          <w:rFonts w:ascii="微软雅黑" w:hAnsi="微软雅黑" w:eastAsia="微软雅黑"/>
          <w:sz w:val="24"/>
        </w:rPr>
        <w:t>覆盖门店：CDNL, CDLG, CDXL</w:t>
      </w:r>
    </w:p>
    <w:p w14:paraId="400CD467">
      <w:pPr>
        <w:jc w:val="center"/>
      </w:pPr>
      <w:r>
        <w:rPr>
          <w:rFonts w:ascii="微软雅黑" w:hAnsi="微软雅黑" w:eastAsia="微软雅黑"/>
          <w:sz w:val="24"/>
        </w:rPr>
        <w:t>数据来源：data3.csv</w:t>
      </w:r>
    </w:p>
    <w:p w14:paraId="1892C5DF">
      <w:r>
        <w:br w:type="page"/>
      </w:r>
    </w:p>
    <w:p w14:paraId="0F335294">
      <w:pPr>
        <w:pStyle w:val="2"/>
      </w:pPr>
      <w:r>
        <w:rPr>
          <w:color w:val="1F4E79"/>
        </w:rPr>
        <w:t>摘要</w:t>
      </w:r>
    </w:p>
    <w:p w14:paraId="454D808F">
      <w:r>
        <w:rPr>
          <w:rFonts w:ascii="微软雅黑" w:hAnsi="微软雅黑" w:eastAsia="微软雅黑"/>
          <w:sz w:val="22"/>
        </w:rPr>
        <w:t>本报告基于 data3.csv 交易明细数据，对 3 家门店（CDLG、CDNL、CDXL）在 2017-01-03 （元旦后首个工作日，Q1 春季）的销售数据进行系统性分析。报告涵盖节假日与季度影响因素分析、销量与价格异常检测、多模型销量预测及跨门店对比，并提出可落地的业务监控与运营建议。</w:t>
      </w:r>
    </w:p>
    <w:p w14:paraId="501BFF42">
      <w:r>
        <w:rPr>
          <w:rFonts w:ascii="微软雅黑" w:hAnsi="微软雅黑" w:eastAsia="微软雅黑"/>
          <w:b/>
          <w:sz w:val="22"/>
        </w:rPr>
        <w:t>核心结论：</w:t>
      </w:r>
    </w:p>
    <w:p w14:paraId="56BEE228">
      <w:pPr>
        <w:pStyle w:val="23"/>
      </w:pPr>
      <w:r>
        <w:rPr>
          <w:rFonts w:ascii="微软雅黑" w:hAnsi="微软雅黑" w:eastAsia="微软雅黑"/>
          <w:sz w:val="22"/>
        </w:rPr>
        <w:t>全平台日总销量 4014.0，CDXL 领先（1562），CDNL 偏低（995）</w:t>
      </w:r>
    </w:p>
    <w:p w14:paraId="0B051C81">
      <w:pPr>
        <w:pStyle w:val="23"/>
      </w:pPr>
      <w:r>
        <w:rPr>
          <w:rFonts w:ascii="微软雅黑" w:hAnsi="微软雅黑" w:eastAsia="微软雅黑"/>
          <w:sz w:val="22"/>
        </w:rPr>
        <w:t>销量呈早高峰（8-10时）与晚高峰（17-19时）双峰结构，高峰时段均值约为非高峰的 1.6 倍</w:t>
      </w:r>
    </w:p>
    <w:p w14:paraId="6753C2C3">
      <w:pPr>
        <w:pStyle w:val="23"/>
      </w:pPr>
      <w:r>
        <w:rPr>
          <w:rFonts w:ascii="微软雅黑" w:hAnsi="微软雅黑" w:eastAsia="微软雅黑"/>
          <w:sz w:val="22"/>
        </w:rPr>
        <w:t>异常交易占比 27.3%（销量异常 710 笔，单价异常 351 笔）</w:t>
      </w:r>
    </w:p>
    <w:p w14:paraId="5DE6302A">
      <w:pPr>
        <w:pStyle w:val="23"/>
      </w:pPr>
      <w:r>
        <w:rPr>
          <w:rFonts w:ascii="微软雅黑" w:hAnsi="微软雅黑" w:eastAsia="微软雅黑"/>
          <w:sz w:val="22"/>
        </w:rPr>
        <w:t>各门店最优预测模型不同：CDLG 适用梯度提升，CDNL/CDXL 适用 Ridge 回归</w:t>
      </w:r>
    </w:p>
    <w:p w14:paraId="4B302CC0">
      <w:pPr>
        <w:pStyle w:val="2"/>
      </w:pPr>
      <w:r>
        <w:rPr>
          <w:color w:val="1F4E79"/>
        </w:rPr>
        <w:t>一、项目概述</w:t>
      </w:r>
    </w:p>
    <w:p w14:paraId="34115539">
      <w:r>
        <w:rPr>
          <w:rFonts w:ascii="微软雅黑" w:hAnsi="微软雅黑" w:eastAsia="微软雅黑"/>
          <w:sz w:val="22"/>
        </w:rPr>
        <w:t>本项目旨在完成复杂的销量预测任务，进行异常检测，整合所有分析结果，输出最终结项报告。项目围绕以下四个核心模块展开：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55EB5BA3">
        <w:trPr>
          <w:jc w:val="center"/>
        </w:trPr>
        <w:tc>
          <w:tcPr>
            <w:tcW w:w="1984" w:type="dxa"/>
            <w:shd w:val="clear" w:color="auto" w:fill="1F4E79"/>
          </w:tcPr>
          <w:p w14:paraId="3FCFB9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6803" w:type="dxa"/>
            <w:shd w:val="clear" w:color="auto" w:fill="1F4E79"/>
          </w:tcPr>
          <w:p w14:paraId="7A1A9C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4309A1C0">
        <w:trPr>
          <w:jc w:val="center"/>
        </w:trPr>
        <w:tc>
          <w:tcPr>
            <w:tcW w:w="1984" w:type="dxa"/>
          </w:tcPr>
          <w:p w14:paraId="26E08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数据探索</w:t>
            </w:r>
          </w:p>
        </w:tc>
        <w:tc>
          <w:tcPr>
            <w:tcW w:w="6803" w:type="dxa"/>
          </w:tcPr>
          <w:p w14:paraId="38B5A4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加载并清洗交易明细，理解门店、价格、销量数据结构</w:t>
            </w:r>
          </w:p>
        </w:tc>
      </w:tr>
      <w:tr w14:paraId="468CC1BB">
        <w:trPr>
          <w:jc w:val="center"/>
        </w:trPr>
        <w:tc>
          <w:tcPr>
            <w:tcW w:w="1984" w:type="dxa"/>
            <w:shd w:val="clear" w:color="auto" w:fill="F2F6FA"/>
          </w:tcPr>
          <w:p w14:paraId="5032A9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影响因素分析</w:t>
            </w:r>
          </w:p>
        </w:tc>
        <w:tc>
          <w:tcPr>
            <w:tcW w:w="6803" w:type="dxa"/>
            <w:shd w:val="clear" w:color="auto" w:fill="F2F6FA"/>
          </w:tcPr>
          <w:p w14:paraId="1E2911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分析节假日效应与季度季节性对销量的影响</w:t>
            </w:r>
          </w:p>
        </w:tc>
      </w:tr>
      <w:tr w14:paraId="5C83E642">
        <w:trPr>
          <w:jc w:val="center"/>
        </w:trPr>
        <w:tc>
          <w:tcPr>
            <w:tcW w:w="1984" w:type="dxa"/>
          </w:tcPr>
          <w:p w14:paraId="0DE2AB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异常检测</w:t>
            </w:r>
          </w:p>
        </w:tc>
        <w:tc>
          <w:tcPr>
            <w:tcW w:w="6803" w:type="dxa"/>
          </w:tcPr>
          <w:p w14:paraId="62C298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识别销量与单价的离群值，建立监控规则</w:t>
            </w:r>
          </w:p>
        </w:tc>
      </w:tr>
      <w:tr w14:paraId="5535D94A">
        <w:trPr>
          <w:jc w:val="center"/>
        </w:trPr>
        <w:tc>
          <w:tcPr>
            <w:tcW w:w="1984" w:type="dxa"/>
            <w:shd w:val="clear" w:color="auto" w:fill="F2F6FA"/>
          </w:tcPr>
          <w:p w14:paraId="3D0777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销量预测</w:t>
            </w:r>
          </w:p>
        </w:tc>
        <w:tc>
          <w:tcPr>
            <w:tcW w:w="6803" w:type="dxa"/>
            <w:shd w:val="clear" w:color="auto" w:fill="F2F6FA"/>
          </w:tcPr>
          <w:p w14:paraId="283C98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构建多模型对比框架，进行跨门店横向评估</w:t>
            </w:r>
          </w:p>
        </w:tc>
      </w:tr>
    </w:tbl>
    <w:p w14:paraId="11E381CF"/>
    <w:p w14:paraId="0820AA76">
      <w:pPr>
        <w:pStyle w:val="2"/>
      </w:pPr>
      <w:r>
        <w:rPr>
          <w:color w:val="1F4E79"/>
        </w:rPr>
        <w:t>二、数据概况</w:t>
      </w:r>
    </w:p>
    <w:p w14:paraId="43769C2B">
      <w:r>
        <w:rPr>
          <w:rFonts w:ascii="微软雅黑" w:hAnsi="微软雅黑" w:eastAsia="微软雅黑"/>
          <w:sz w:val="22"/>
        </w:rPr>
        <w:t>数据文件 data3.csv 共包含 3478 条交易记录、918 个独立订单，覆盖 3 家门店。观测日为 2017 年 1 月 3 日（周二），系元旦假期后首个工作日，属于 Q1 春季消费周期。</w:t>
      </w:r>
    </w:p>
    <w:p w14:paraId="0E14D5FB">
      <w:pPr>
        <w:pStyle w:val="3"/>
      </w:pPr>
      <w:r>
        <w:rPr>
          <w:color w:val="1F4E79"/>
        </w:rPr>
        <w:t>2.1 各门店交易概况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511"/>
        <w:gridCol w:w="1511"/>
        <w:gridCol w:w="1511"/>
        <w:gridCol w:w="1511"/>
        <w:gridCol w:w="1511"/>
      </w:tblGrid>
      <w:tr w14:paraId="3A4CBF9D">
        <w:trPr>
          <w:jc w:val="center"/>
        </w:trPr>
        <w:tc>
          <w:tcPr>
            <w:tcW w:w="1511" w:type="dxa"/>
            <w:shd w:val="clear" w:color="auto" w:fill="1F4E79"/>
          </w:tcPr>
          <w:p w14:paraId="4FABA3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门店</w:t>
            </w:r>
          </w:p>
        </w:tc>
        <w:tc>
          <w:tcPr>
            <w:tcW w:w="1511" w:type="dxa"/>
            <w:shd w:val="clear" w:color="auto" w:fill="1F4E79"/>
          </w:tcPr>
          <w:p w14:paraId="43769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交易笔数</w:t>
            </w:r>
          </w:p>
        </w:tc>
        <w:tc>
          <w:tcPr>
            <w:tcW w:w="1511" w:type="dxa"/>
            <w:shd w:val="clear" w:color="auto" w:fill="1F4E79"/>
          </w:tcPr>
          <w:p w14:paraId="7C399F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总销量</w:t>
            </w:r>
          </w:p>
        </w:tc>
        <w:tc>
          <w:tcPr>
            <w:tcW w:w="1511" w:type="dxa"/>
            <w:shd w:val="clear" w:color="auto" w:fill="1F4E79"/>
          </w:tcPr>
          <w:p w14:paraId="65C7D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平均单价(元)</w:t>
            </w:r>
          </w:p>
        </w:tc>
        <w:tc>
          <w:tcPr>
            <w:tcW w:w="1511" w:type="dxa"/>
            <w:shd w:val="clear" w:color="auto" w:fill="1F4E79"/>
          </w:tcPr>
          <w:p w14:paraId="6F962F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订单数</w:t>
            </w:r>
          </w:p>
        </w:tc>
        <w:tc>
          <w:tcPr>
            <w:tcW w:w="1511" w:type="dxa"/>
            <w:shd w:val="clear" w:color="auto" w:fill="1F4E79"/>
          </w:tcPr>
          <w:p w14:paraId="0A0C3F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负销量/退货</w:t>
            </w:r>
          </w:p>
        </w:tc>
      </w:tr>
      <w:tr w14:paraId="5DDB630C">
        <w:trPr>
          <w:jc w:val="center"/>
        </w:trPr>
        <w:tc>
          <w:tcPr>
            <w:tcW w:w="1511" w:type="dxa"/>
          </w:tcPr>
          <w:p w14:paraId="4B1939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CDLG</w:t>
            </w:r>
          </w:p>
        </w:tc>
        <w:tc>
          <w:tcPr>
            <w:tcW w:w="1511" w:type="dxa"/>
          </w:tcPr>
          <w:p w14:paraId="11DD30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1331</w:t>
            </w:r>
          </w:p>
        </w:tc>
        <w:tc>
          <w:tcPr>
            <w:tcW w:w="1511" w:type="dxa"/>
          </w:tcPr>
          <w:p w14:paraId="373BA3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1457.0</w:t>
            </w:r>
          </w:p>
        </w:tc>
        <w:tc>
          <w:tcPr>
            <w:tcW w:w="1511" w:type="dxa"/>
          </w:tcPr>
          <w:p w14:paraId="1EE616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9.65</w:t>
            </w:r>
          </w:p>
        </w:tc>
        <w:tc>
          <w:tcPr>
            <w:tcW w:w="1511" w:type="dxa"/>
          </w:tcPr>
          <w:p w14:paraId="152880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356</w:t>
            </w:r>
          </w:p>
        </w:tc>
        <w:tc>
          <w:tcPr>
            <w:tcW w:w="1511" w:type="dxa"/>
          </w:tcPr>
          <w:p w14:paraId="3D3362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6B6D5A1F">
        <w:trPr>
          <w:jc w:val="center"/>
        </w:trPr>
        <w:tc>
          <w:tcPr>
            <w:tcW w:w="1511" w:type="dxa"/>
            <w:shd w:val="clear" w:color="auto" w:fill="F2F6FA"/>
          </w:tcPr>
          <w:p w14:paraId="669288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CDNL</w:t>
            </w:r>
          </w:p>
        </w:tc>
        <w:tc>
          <w:tcPr>
            <w:tcW w:w="1511" w:type="dxa"/>
            <w:shd w:val="clear" w:color="auto" w:fill="F2F6FA"/>
          </w:tcPr>
          <w:p w14:paraId="1DBC97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999</w:t>
            </w:r>
          </w:p>
        </w:tc>
        <w:tc>
          <w:tcPr>
            <w:tcW w:w="1511" w:type="dxa"/>
            <w:shd w:val="clear" w:color="auto" w:fill="F2F6FA"/>
          </w:tcPr>
          <w:p w14:paraId="3330EC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995.1</w:t>
            </w:r>
          </w:p>
        </w:tc>
        <w:tc>
          <w:tcPr>
            <w:tcW w:w="1511" w:type="dxa"/>
            <w:shd w:val="clear" w:color="auto" w:fill="F2F6FA"/>
          </w:tcPr>
          <w:p w14:paraId="7EB64B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10.60</w:t>
            </w:r>
          </w:p>
        </w:tc>
        <w:tc>
          <w:tcPr>
            <w:tcW w:w="1511" w:type="dxa"/>
            <w:shd w:val="clear" w:color="auto" w:fill="F2F6FA"/>
          </w:tcPr>
          <w:p w14:paraId="43446E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248</w:t>
            </w:r>
          </w:p>
        </w:tc>
        <w:tc>
          <w:tcPr>
            <w:tcW w:w="1511" w:type="dxa"/>
            <w:shd w:val="clear" w:color="auto" w:fill="F2F6FA"/>
          </w:tcPr>
          <w:p w14:paraId="1B9736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</w:tr>
      <w:tr w14:paraId="465903EF">
        <w:trPr>
          <w:jc w:val="center"/>
        </w:trPr>
        <w:tc>
          <w:tcPr>
            <w:tcW w:w="1511" w:type="dxa"/>
          </w:tcPr>
          <w:p w14:paraId="62960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CDXL</w:t>
            </w:r>
          </w:p>
        </w:tc>
        <w:tc>
          <w:tcPr>
            <w:tcW w:w="1511" w:type="dxa"/>
          </w:tcPr>
          <w:p w14:paraId="1D32DE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1148</w:t>
            </w:r>
          </w:p>
        </w:tc>
        <w:tc>
          <w:tcPr>
            <w:tcW w:w="1511" w:type="dxa"/>
          </w:tcPr>
          <w:p w14:paraId="3BB81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1562.0</w:t>
            </w:r>
          </w:p>
        </w:tc>
        <w:tc>
          <w:tcPr>
            <w:tcW w:w="1511" w:type="dxa"/>
          </w:tcPr>
          <w:p w14:paraId="11A5AA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10.14</w:t>
            </w:r>
          </w:p>
        </w:tc>
        <w:tc>
          <w:tcPr>
            <w:tcW w:w="1511" w:type="dxa"/>
          </w:tcPr>
          <w:p w14:paraId="1A06D6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315</w:t>
            </w:r>
          </w:p>
        </w:tc>
        <w:tc>
          <w:tcPr>
            <w:tcW w:w="1511" w:type="dxa"/>
          </w:tcPr>
          <w:p w14:paraId="0F0383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</w:tbl>
    <w:p w14:paraId="382B94F1"/>
    <w:p w14:paraId="1550D13B">
      <w:pPr>
        <w:pStyle w:val="3"/>
      </w:pPr>
      <w:r>
        <w:rPr>
          <w:color w:val="1F4E79"/>
        </w:rPr>
        <w:t>2.2 销量分布可视化</w:t>
      </w:r>
    </w:p>
    <w:p w14:paraId="3AA7B29F">
      <w:r>
        <w:drawing>
          <wp:inline distT="0" distB="0" distL="114300" distR="114300">
            <wp:extent cx="5669280" cy="2078990"/>
            <wp:effectExtent l="0" t="0" r="203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1BA7">
      <w:pPr>
        <w:jc w:val="center"/>
      </w:pPr>
      <w:r>
        <w:rPr>
          <w:i/>
          <w:sz w:val="18"/>
        </w:rPr>
        <w:t>图1  各门店小时销量分布与日总销量对比</w:t>
      </w:r>
    </w:p>
    <w:p w14:paraId="5E1537B3">
      <w:pPr>
        <w:pStyle w:val="2"/>
      </w:pPr>
      <w:r>
        <w:rPr>
          <w:color w:val="1F4E79"/>
        </w:rPr>
        <w:t>三、节假日与季度对销量的影响</w:t>
      </w:r>
    </w:p>
    <w:p w14:paraId="2CCE98DC">
      <w:r>
        <w:rPr>
          <w:rFonts w:ascii="微软雅黑" w:hAnsi="微软雅黑" w:eastAsia="微软雅黑"/>
          <w:sz w:val="22"/>
        </w:rPr>
        <w:t>观测日 2017-01-03 为元旦假期（1月1-2日）后的首个工作日。节后复工日消费者回归日常采购节奏，销量在日内呈现明显的时段分化特征。</w:t>
      </w:r>
    </w:p>
    <w:p w14:paraId="4A9D32A9">
      <w:pPr>
        <w:pStyle w:val="3"/>
      </w:pPr>
      <w:r>
        <w:rPr>
          <w:color w:val="1F4E79"/>
        </w:rPr>
        <w:t>3.1 时段高峰分析</w:t>
      </w:r>
    </w:p>
    <w:p w14:paraId="6E30D2F4">
      <w:r>
        <w:rPr>
          <w:rFonts w:ascii="微软雅黑" w:hAnsi="微软雅黑" w:eastAsia="微软雅黑"/>
          <w:sz w:val="22"/>
        </w:rPr>
        <w:t>将 8-10 时、17-19 时定义为高峰时段，其余为非高峰时段，各门店对比如下：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3ABF4FA">
        <w:trPr>
          <w:jc w:val="center"/>
        </w:trPr>
        <w:tc>
          <w:tcPr>
            <w:tcW w:w="3022" w:type="dxa"/>
            <w:shd w:val="clear" w:color="auto" w:fill="1F4E79"/>
          </w:tcPr>
          <w:p w14:paraId="39B8DE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门店</w:t>
            </w:r>
          </w:p>
        </w:tc>
        <w:tc>
          <w:tcPr>
            <w:tcW w:w="3022" w:type="dxa"/>
            <w:shd w:val="clear" w:color="auto" w:fill="1F4E79"/>
          </w:tcPr>
          <w:p w14:paraId="40333C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非高峰平均小时销量</w:t>
            </w:r>
          </w:p>
        </w:tc>
        <w:tc>
          <w:tcPr>
            <w:tcW w:w="3022" w:type="dxa"/>
            <w:shd w:val="clear" w:color="auto" w:fill="1F4E79"/>
          </w:tcPr>
          <w:p w14:paraId="24BB53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高峰平均小时销量</w:t>
            </w:r>
          </w:p>
        </w:tc>
      </w:tr>
      <w:tr w14:paraId="6FAEF821">
        <w:trPr>
          <w:jc w:val="center"/>
        </w:trPr>
        <w:tc>
          <w:tcPr>
            <w:tcW w:w="3022" w:type="dxa"/>
          </w:tcPr>
          <w:p w14:paraId="0E5C2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CDLG</w:t>
            </w:r>
          </w:p>
        </w:tc>
        <w:tc>
          <w:tcPr>
            <w:tcW w:w="3022" w:type="dxa"/>
          </w:tcPr>
          <w:p w14:paraId="35A618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33.8</w:t>
            </w:r>
          </w:p>
        </w:tc>
        <w:tc>
          <w:tcPr>
            <w:tcW w:w="3022" w:type="dxa"/>
          </w:tcPr>
          <w:p w14:paraId="394507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214.7</w:t>
            </w:r>
          </w:p>
        </w:tc>
      </w:tr>
      <w:tr w14:paraId="229DF21F">
        <w:trPr>
          <w:jc w:val="center"/>
        </w:trPr>
        <w:tc>
          <w:tcPr>
            <w:tcW w:w="3022" w:type="dxa"/>
            <w:shd w:val="clear" w:color="auto" w:fill="F2F6FA"/>
          </w:tcPr>
          <w:p w14:paraId="03BA8A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CDNL</w:t>
            </w:r>
          </w:p>
        </w:tc>
        <w:tc>
          <w:tcPr>
            <w:tcW w:w="3022" w:type="dxa"/>
            <w:shd w:val="clear" w:color="auto" w:fill="F2F6FA"/>
          </w:tcPr>
          <w:p w14:paraId="26063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116.6</w:t>
            </w:r>
          </w:p>
        </w:tc>
        <w:tc>
          <w:tcPr>
            <w:tcW w:w="3022" w:type="dxa"/>
            <w:shd w:val="clear" w:color="auto" w:fill="F2F6FA"/>
          </w:tcPr>
          <w:p w14:paraId="49AA03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73.8</w:t>
            </w:r>
          </w:p>
        </w:tc>
      </w:tr>
      <w:tr w14:paraId="58CBD1BF">
        <w:trPr>
          <w:jc w:val="center"/>
        </w:trPr>
        <w:tc>
          <w:tcPr>
            <w:tcW w:w="3022" w:type="dxa"/>
          </w:tcPr>
          <w:p w14:paraId="5BE95F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CDXL</w:t>
            </w:r>
          </w:p>
        </w:tc>
        <w:tc>
          <w:tcPr>
            <w:tcW w:w="3022" w:type="dxa"/>
          </w:tcPr>
          <w:p w14:paraId="6FEE3A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128.3</w:t>
            </w:r>
          </w:p>
        </w:tc>
        <w:tc>
          <w:tcPr>
            <w:tcW w:w="3022" w:type="dxa"/>
          </w:tcPr>
          <w:p w14:paraId="077A2D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153.4</w:t>
            </w:r>
          </w:p>
        </w:tc>
      </w:tr>
    </w:tbl>
    <w:p w14:paraId="34E29259"/>
    <w:p w14:paraId="22D9A497">
      <w:r>
        <w:rPr>
          <w:rFonts w:ascii="微软雅黑" w:hAnsi="微软雅黑" w:eastAsia="微软雅黑"/>
          <w:sz w:val="22"/>
        </w:rPr>
        <w:t>全门店合计来看，高峰时段平均小时销量约为非高峰的 1.6 倍，呈现典型的"早高峰 + 晚高峰"双峰消费模式。CDLG 高峰效应最为显著（高峰约为非高峰的 6.4 倍），CDNL 则相对平缓。</w:t>
      </w:r>
    </w:p>
    <w:p w14:paraId="77033146">
      <w:pPr>
        <w:pStyle w:val="3"/>
      </w:pPr>
      <w:r>
        <w:rPr>
          <w:color w:val="1F4E79"/>
        </w:rPr>
        <w:t>3.2 季度效应（Q1）</w:t>
      </w:r>
    </w:p>
    <w:p w14:paraId="0A355702">
      <w:r>
        <w:rPr>
          <w:rFonts w:ascii="微软雅黑" w:hAnsi="微软雅黑" w:eastAsia="微软雅黑"/>
          <w:sz w:val="22"/>
        </w:rPr>
        <w:t>Q1 处于春节前期，消费以刚需品类为主，客单价中等。三家门店日销量排名为：CDXL（1562）&gt; CDLG（1457）&gt; CDNL（995），门店间规模差异显著。</w:t>
      </w:r>
    </w:p>
    <w:p w14:paraId="2BAFDDB5">
      <w:r>
        <w:rPr>
          <w:rFonts w:ascii="微软雅黑" w:hAnsi="微软雅黑" w:eastAsia="微软雅黑"/>
          <w:b/>
          <w:sz w:val="22"/>
        </w:rPr>
        <w:t>节假日与季度影响小结：</w:t>
      </w:r>
    </w:p>
    <w:p w14:paraId="12A5E0CC">
      <w:pPr>
        <w:pStyle w:val="23"/>
      </w:pPr>
      <w:r>
        <w:rPr>
          <w:rFonts w:ascii="微软雅黑" w:hAnsi="微软雅黑" w:eastAsia="微软雅黑"/>
          <w:sz w:val="22"/>
        </w:rPr>
        <w:t>节后首个工作日销量恢复明显，早/晚双峰结构清晰</w:t>
      </w:r>
    </w:p>
    <w:p w14:paraId="2122130E">
      <w:pPr>
        <w:pStyle w:val="23"/>
      </w:pPr>
      <w:r>
        <w:rPr>
          <w:rFonts w:ascii="微软雅黑" w:hAnsi="微软雅黑" w:eastAsia="微软雅黑"/>
          <w:sz w:val="22"/>
        </w:rPr>
        <w:t>Q1 刚需消费特征突出，中低单价商品走量更快</w:t>
      </w:r>
    </w:p>
    <w:p w14:paraId="777C193A">
      <w:pPr>
        <w:pStyle w:val="23"/>
      </w:pPr>
      <w:r>
        <w:rPr>
          <w:rFonts w:ascii="微软雅黑" w:hAnsi="微软雅黑" w:eastAsia="微软雅黑"/>
          <w:sz w:val="22"/>
        </w:rPr>
        <w:t>不同门店高峰时段表现差异大，需差异化排班策略</w:t>
      </w:r>
    </w:p>
    <w:p w14:paraId="116AD779">
      <w:pPr>
        <w:pStyle w:val="23"/>
      </w:pPr>
      <w:r>
        <w:rPr>
          <w:rFonts w:ascii="微软雅黑" w:hAnsi="微软雅黑" w:eastAsia="微软雅黑"/>
          <w:sz w:val="22"/>
        </w:rPr>
        <w:t>建议积累 ≥30 天跨季度数据以进一步验证季节性规律</w:t>
      </w:r>
    </w:p>
    <w:p w14:paraId="6E1AD7D5">
      <w:pPr>
        <w:pStyle w:val="2"/>
      </w:pPr>
      <w:r>
        <w:rPr>
          <w:color w:val="1F4E79"/>
        </w:rPr>
        <w:t>四、销量与价格异常检测</w:t>
      </w:r>
    </w:p>
    <w:p w14:paraId="615B1DB2">
      <w:r>
        <w:rPr>
          <w:rFonts w:ascii="微软雅黑" w:hAnsi="微软雅黑" w:eastAsia="微软雅黑"/>
          <w:sz w:val="22"/>
        </w:rPr>
        <w:t>采用 IQR（四分位距）+ Z-Score 组合方法进行单变量异常检测，并使用 Isolation Forest 进行多变量联合检测。检测在门店维度分别执行，避免门店间差异干扰阈值。</w:t>
      </w:r>
    </w:p>
    <w:p w14:paraId="4F223482">
      <w:pPr>
        <w:pStyle w:val="3"/>
      </w:pPr>
      <w:r>
        <w:rPr>
          <w:color w:val="1F4E79"/>
        </w:rPr>
        <w:t>4.1 异常检测汇总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4F56142">
        <w:trPr>
          <w:jc w:val="center"/>
        </w:trPr>
        <w:tc>
          <w:tcPr>
            <w:tcW w:w="3022" w:type="dxa"/>
            <w:shd w:val="clear" w:color="auto" w:fill="1F4E79"/>
          </w:tcPr>
          <w:p w14:paraId="4278B8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3022" w:type="dxa"/>
            <w:shd w:val="clear" w:color="auto" w:fill="1F4E79"/>
          </w:tcPr>
          <w:p w14:paraId="289B70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笔数</w:t>
            </w:r>
          </w:p>
        </w:tc>
        <w:tc>
          <w:tcPr>
            <w:tcW w:w="3022" w:type="dxa"/>
            <w:shd w:val="clear" w:color="auto" w:fill="1F4E79"/>
          </w:tcPr>
          <w:p w14:paraId="132AF9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 w14:paraId="6EC16996">
        <w:trPr>
          <w:jc w:val="center"/>
        </w:trPr>
        <w:tc>
          <w:tcPr>
            <w:tcW w:w="3022" w:type="dxa"/>
          </w:tcPr>
          <w:p w14:paraId="2FE8E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销量异常</w:t>
            </w:r>
          </w:p>
        </w:tc>
        <w:tc>
          <w:tcPr>
            <w:tcW w:w="3022" w:type="dxa"/>
          </w:tcPr>
          <w:p w14:paraId="4FDD4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710</w:t>
            </w:r>
          </w:p>
        </w:tc>
        <w:tc>
          <w:tcPr>
            <w:tcW w:w="3022" w:type="dxa"/>
          </w:tcPr>
          <w:p w14:paraId="0391E3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20.4%</w:t>
            </w:r>
          </w:p>
        </w:tc>
      </w:tr>
      <w:tr w14:paraId="3BA5A737">
        <w:trPr>
          <w:jc w:val="center"/>
        </w:trPr>
        <w:tc>
          <w:tcPr>
            <w:tcW w:w="3022" w:type="dxa"/>
            <w:shd w:val="clear" w:color="auto" w:fill="F2F6FA"/>
          </w:tcPr>
          <w:p w14:paraId="54C89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单价异常</w:t>
            </w:r>
          </w:p>
        </w:tc>
        <w:tc>
          <w:tcPr>
            <w:tcW w:w="3022" w:type="dxa"/>
            <w:shd w:val="clear" w:color="auto" w:fill="F2F6FA"/>
          </w:tcPr>
          <w:p w14:paraId="669D66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351</w:t>
            </w:r>
          </w:p>
        </w:tc>
        <w:tc>
          <w:tcPr>
            <w:tcW w:w="3022" w:type="dxa"/>
            <w:shd w:val="clear" w:color="auto" w:fill="F2F6FA"/>
          </w:tcPr>
          <w:p w14:paraId="6DFCE1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10.1%</w:t>
            </w:r>
          </w:p>
        </w:tc>
      </w:tr>
      <w:tr w14:paraId="7447F478">
        <w:trPr>
          <w:jc w:val="center"/>
        </w:trPr>
        <w:tc>
          <w:tcPr>
            <w:tcW w:w="3022" w:type="dxa"/>
          </w:tcPr>
          <w:p w14:paraId="0B4D7C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综合异常</w:t>
            </w:r>
          </w:p>
        </w:tc>
        <w:tc>
          <w:tcPr>
            <w:tcW w:w="3022" w:type="dxa"/>
          </w:tcPr>
          <w:p w14:paraId="5C483F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951</w:t>
            </w:r>
          </w:p>
        </w:tc>
        <w:tc>
          <w:tcPr>
            <w:tcW w:w="3022" w:type="dxa"/>
          </w:tcPr>
          <w:p w14:paraId="0A6C1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27.3%</w:t>
            </w:r>
          </w:p>
        </w:tc>
      </w:tr>
      <w:tr w14:paraId="1B737D80">
        <w:trPr>
          <w:jc w:val="center"/>
        </w:trPr>
        <w:tc>
          <w:tcPr>
            <w:tcW w:w="3022" w:type="dxa"/>
            <w:shd w:val="clear" w:color="auto" w:fill="F2F6FA"/>
          </w:tcPr>
          <w:p w14:paraId="0DC41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退货/冲正</w:t>
            </w:r>
          </w:p>
        </w:tc>
        <w:tc>
          <w:tcPr>
            <w:tcW w:w="3022" w:type="dxa"/>
            <w:shd w:val="clear" w:color="auto" w:fill="F2F6FA"/>
          </w:tcPr>
          <w:p w14:paraId="0BB144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3022" w:type="dxa"/>
            <w:shd w:val="clear" w:color="auto" w:fill="F2F6FA"/>
          </w:tcPr>
          <w:p w14:paraId="3137C0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0.4%</w:t>
            </w:r>
          </w:p>
        </w:tc>
      </w:tr>
    </w:tbl>
    <w:p w14:paraId="7279B8CA"/>
    <w:p w14:paraId="680AAB96">
      <w:pPr>
        <w:pStyle w:val="3"/>
      </w:pPr>
      <w:r>
        <w:rPr>
          <w:color w:val="1F4E79"/>
        </w:rPr>
        <w:t>4.2 主要异常类型</w:t>
      </w:r>
    </w:p>
    <w:p w14:paraId="359EBBC5">
      <w:pPr>
        <w:pStyle w:val="23"/>
      </w:pPr>
      <w:r>
        <w:rPr>
          <w:rFonts w:ascii="微软雅黑" w:hAnsi="微软雅黑" w:eastAsia="微软雅黑"/>
          <w:sz w:val="22"/>
        </w:rPr>
        <w:t>极高单价商品：部分商品单价超过门店 P99 阈值（最高达 154.52 元）</w:t>
      </w:r>
    </w:p>
    <w:p w14:paraId="36E6B2E4">
      <w:pPr>
        <w:pStyle w:val="23"/>
      </w:pPr>
      <w:r>
        <w:rPr>
          <w:rFonts w:ascii="微软雅黑" w:hAnsi="微软雅黑" w:eastAsia="微软雅黑"/>
          <w:sz w:val="22"/>
        </w:rPr>
        <w:t>极端销量：单笔销量异常偏高（最高达 45.0）或偏低（退货负销量，最低 -11.15）</w:t>
      </w:r>
    </w:p>
    <w:p w14:paraId="38259C0B">
      <w:pPr>
        <w:pStyle w:val="23"/>
      </w:pPr>
      <w:r>
        <w:rPr>
          <w:rFonts w:ascii="微软雅黑" w:hAnsi="微软雅黑" w:eastAsia="微软雅黑"/>
          <w:sz w:val="22"/>
        </w:rPr>
        <w:t>批量退货/冲正：共 15 笔负销量记录，需重点监控</w:t>
      </w:r>
    </w:p>
    <w:p w14:paraId="5FE26E53">
      <w:pPr>
        <w:pStyle w:val="23"/>
      </w:pPr>
      <w:r>
        <w:rPr>
          <w:rFonts w:ascii="微软雅黑" w:hAnsi="微软雅黑" w:eastAsia="微软雅黑"/>
          <w:sz w:val="22"/>
        </w:rPr>
        <w:t>小时级异常：个别时段销量显著偏离该门店日内均值</w:t>
      </w:r>
    </w:p>
    <w:p w14:paraId="7C35BAD4">
      <w:r>
        <w:drawing>
          <wp:inline distT="0" distB="0" distL="114300" distR="114300">
            <wp:extent cx="5669280" cy="2078990"/>
            <wp:effectExtent l="0" t="0" r="203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BB84">
      <w:pPr>
        <w:jc w:val="center"/>
      </w:pPr>
      <w:r>
        <w:rPr>
          <w:i/>
          <w:sz w:val="18"/>
        </w:rPr>
        <w:t>图2  各门店单价与销量分布箱线图</w:t>
      </w:r>
    </w:p>
    <w:p w14:paraId="423C71E1">
      <w:pPr>
        <w:pStyle w:val="2"/>
      </w:pPr>
      <w:r>
        <w:rPr>
          <w:color w:val="1F4E79"/>
        </w:rPr>
        <w:t>五、销量预测模型与门店对比</w:t>
      </w:r>
    </w:p>
    <w:p w14:paraId="42FF607E">
      <w:r>
        <w:rPr>
          <w:rFonts w:ascii="微软雅黑" w:hAnsi="微软雅黑" w:eastAsia="微软雅黑"/>
          <w:sz w:val="22"/>
        </w:rPr>
        <w:t>以"门店 × 小时"为建模粒度，构建包含小时周期编码、高峰标记、滞后销量等特征，对比线性回归、Ridge 回归、随机森林、梯度提升四种模型。鉴于样本量有限（每门店约 10 个小时点），采用留一法交叉验证（LOO-CV）评估模型泛化能力，并辅以"上午训练 → 下午预测"的时段分割实验模拟日内滚动预测场景。</w:t>
      </w:r>
    </w:p>
    <w:p w14:paraId="08452EB6">
      <w:pPr>
        <w:pStyle w:val="3"/>
      </w:pPr>
      <w:r>
        <w:rPr>
          <w:color w:val="1F4E79"/>
        </w:rPr>
        <w:t>5.1 模型对比（MAE，越低越好）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519C08AA">
        <w:trPr>
          <w:jc w:val="center"/>
        </w:trPr>
        <w:tc>
          <w:tcPr>
            <w:tcW w:w="1813" w:type="dxa"/>
            <w:shd w:val="clear" w:color="auto" w:fill="1F4E79"/>
          </w:tcPr>
          <w:p w14:paraId="1FDD43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门店</w:t>
            </w:r>
          </w:p>
        </w:tc>
        <w:tc>
          <w:tcPr>
            <w:tcW w:w="1813" w:type="dxa"/>
            <w:shd w:val="clear" w:color="auto" w:fill="1F4E79"/>
          </w:tcPr>
          <w:p w14:paraId="00E40C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Ridge回归</w:t>
            </w:r>
          </w:p>
        </w:tc>
        <w:tc>
          <w:tcPr>
            <w:tcW w:w="1813" w:type="dxa"/>
            <w:shd w:val="clear" w:color="auto" w:fill="1F4E79"/>
          </w:tcPr>
          <w:p w14:paraId="3EF0F0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梯度提升</w:t>
            </w:r>
          </w:p>
        </w:tc>
        <w:tc>
          <w:tcPr>
            <w:tcW w:w="1813" w:type="dxa"/>
            <w:shd w:val="clear" w:color="auto" w:fill="1F4E79"/>
          </w:tcPr>
          <w:p w14:paraId="4D56BD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线性回归</w:t>
            </w:r>
          </w:p>
        </w:tc>
        <w:tc>
          <w:tcPr>
            <w:tcW w:w="1813" w:type="dxa"/>
            <w:shd w:val="clear" w:color="auto" w:fill="1F4E79"/>
          </w:tcPr>
          <w:p w14:paraId="738C65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随机森林</w:t>
            </w:r>
          </w:p>
        </w:tc>
      </w:tr>
      <w:tr w14:paraId="461D92EB">
        <w:trPr>
          <w:jc w:val="center"/>
        </w:trPr>
        <w:tc>
          <w:tcPr>
            <w:tcW w:w="1813" w:type="dxa"/>
          </w:tcPr>
          <w:p w14:paraId="378607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CDLG</w:t>
            </w:r>
          </w:p>
        </w:tc>
        <w:tc>
          <w:tcPr>
            <w:tcW w:w="1813" w:type="dxa"/>
          </w:tcPr>
          <w:p w14:paraId="58BFA3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80.83</w:t>
            </w:r>
          </w:p>
        </w:tc>
        <w:tc>
          <w:tcPr>
            <w:tcW w:w="1813" w:type="dxa"/>
          </w:tcPr>
          <w:p w14:paraId="5C4014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61.52</w:t>
            </w:r>
          </w:p>
        </w:tc>
        <w:tc>
          <w:tcPr>
            <w:tcW w:w="1813" w:type="dxa"/>
          </w:tcPr>
          <w:p w14:paraId="4957EB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121.4</w:t>
            </w:r>
          </w:p>
        </w:tc>
        <w:tc>
          <w:tcPr>
            <w:tcW w:w="1813" w:type="dxa"/>
          </w:tcPr>
          <w:p w14:paraId="715E92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64.64</w:t>
            </w:r>
          </w:p>
        </w:tc>
      </w:tr>
      <w:tr w14:paraId="18FAA2FE">
        <w:trPr>
          <w:jc w:val="center"/>
        </w:trPr>
        <w:tc>
          <w:tcPr>
            <w:tcW w:w="1813" w:type="dxa"/>
            <w:shd w:val="clear" w:color="auto" w:fill="F2F6FA"/>
          </w:tcPr>
          <w:p w14:paraId="3078D8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CDNL</w:t>
            </w:r>
          </w:p>
        </w:tc>
        <w:tc>
          <w:tcPr>
            <w:tcW w:w="1813" w:type="dxa"/>
            <w:shd w:val="clear" w:color="auto" w:fill="F2F6FA"/>
          </w:tcPr>
          <w:p w14:paraId="3A9518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21.84</w:t>
            </w:r>
          </w:p>
        </w:tc>
        <w:tc>
          <w:tcPr>
            <w:tcW w:w="1813" w:type="dxa"/>
            <w:shd w:val="clear" w:color="auto" w:fill="F2F6FA"/>
          </w:tcPr>
          <w:p w14:paraId="6560A2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52.24</w:t>
            </w:r>
          </w:p>
        </w:tc>
        <w:tc>
          <w:tcPr>
            <w:tcW w:w="1813" w:type="dxa"/>
            <w:shd w:val="clear" w:color="auto" w:fill="F2F6FA"/>
          </w:tcPr>
          <w:p w14:paraId="18B712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48.09</w:t>
            </w:r>
          </w:p>
        </w:tc>
        <w:tc>
          <w:tcPr>
            <w:tcW w:w="1813" w:type="dxa"/>
            <w:shd w:val="clear" w:color="auto" w:fill="F2F6FA"/>
          </w:tcPr>
          <w:p w14:paraId="0AE8C4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47.46</w:t>
            </w:r>
          </w:p>
        </w:tc>
      </w:tr>
      <w:tr w14:paraId="1C00488E">
        <w:trPr>
          <w:jc w:val="center"/>
        </w:trPr>
        <w:tc>
          <w:tcPr>
            <w:tcW w:w="1813" w:type="dxa"/>
          </w:tcPr>
          <w:p w14:paraId="275034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CDXL</w:t>
            </w:r>
          </w:p>
        </w:tc>
        <w:tc>
          <w:tcPr>
            <w:tcW w:w="1813" w:type="dxa"/>
          </w:tcPr>
          <w:p w14:paraId="6A0E64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55.92</w:t>
            </w:r>
          </w:p>
        </w:tc>
        <w:tc>
          <w:tcPr>
            <w:tcW w:w="1813" w:type="dxa"/>
          </w:tcPr>
          <w:p w14:paraId="616E14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111.95</w:t>
            </w:r>
          </w:p>
        </w:tc>
        <w:tc>
          <w:tcPr>
            <w:tcW w:w="1813" w:type="dxa"/>
          </w:tcPr>
          <w:p w14:paraId="25B00B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59.5</w:t>
            </w:r>
          </w:p>
        </w:tc>
        <w:tc>
          <w:tcPr>
            <w:tcW w:w="1813" w:type="dxa"/>
          </w:tcPr>
          <w:p w14:paraId="6E556F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121.14</w:t>
            </w:r>
          </w:p>
        </w:tc>
      </w:tr>
    </w:tbl>
    <w:p w14:paraId="3B85512E"/>
    <w:p w14:paraId="392D2345">
      <w:r>
        <w:drawing>
          <wp:inline distT="0" distB="0" distL="114300" distR="114300">
            <wp:extent cx="5029200" cy="26562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1D96">
      <w:pPr>
        <w:jc w:val="center"/>
      </w:pPr>
      <w:r>
        <w:rPr>
          <w:i/>
          <w:sz w:val="18"/>
        </w:rPr>
        <w:t>图3  各门店×各模型 MAE 热力图</w:t>
      </w:r>
    </w:p>
    <w:p w14:paraId="1B2A960E">
      <w:pPr>
        <w:pStyle w:val="3"/>
      </w:pPr>
      <w:r>
        <w:rPr>
          <w:color w:val="1F4E79"/>
        </w:rPr>
        <w:t>5.2 各门店最优模型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4FA7F9D5">
        <w:trPr>
          <w:jc w:val="center"/>
        </w:trPr>
        <w:tc>
          <w:tcPr>
            <w:tcW w:w="1813" w:type="dxa"/>
            <w:shd w:val="clear" w:color="auto" w:fill="1F4E79"/>
          </w:tcPr>
          <w:p w14:paraId="4057CC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门店</w:t>
            </w:r>
          </w:p>
        </w:tc>
        <w:tc>
          <w:tcPr>
            <w:tcW w:w="1813" w:type="dxa"/>
            <w:shd w:val="clear" w:color="auto" w:fill="1F4E79"/>
          </w:tcPr>
          <w:p w14:paraId="5E6949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最优模型</w:t>
            </w:r>
          </w:p>
        </w:tc>
        <w:tc>
          <w:tcPr>
            <w:tcW w:w="1813" w:type="dxa"/>
            <w:shd w:val="clear" w:color="auto" w:fill="1F4E79"/>
          </w:tcPr>
          <w:p w14:paraId="49611B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MAE</w:t>
            </w:r>
          </w:p>
        </w:tc>
        <w:tc>
          <w:tcPr>
            <w:tcW w:w="1813" w:type="dxa"/>
            <w:shd w:val="clear" w:color="auto" w:fill="1F4E79"/>
          </w:tcPr>
          <w:p w14:paraId="78759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RMSE</w:t>
            </w:r>
          </w:p>
        </w:tc>
        <w:tc>
          <w:tcPr>
            <w:tcW w:w="1813" w:type="dxa"/>
            <w:shd w:val="clear" w:color="auto" w:fill="1F4E79"/>
          </w:tcPr>
          <w:p w14:paraId="247ACE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R²</w:t>
            </w:r>
          </w:p>
        </w:tc>
      </w:tr>
      <w:tr w14:paraId="467F7258">
        <w:trPr>
          <w:jc w:val="center"/>
        </w:trPr>
        <w:tc>
          <w:tcPr>
            <w:tcW w:w="1813" w:type="dxa"/>
          </w:tcPr>
          <w:p w14:paraId="7C36C0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CDLG</w:t>
            </w:r>
          </w:p>
        </w:tc>
        <w:tc>
          <w:tcPr>
            <w:tcW w:w="1813" w:type="dxa"/>
          </w:tcPr>
          <w:p w14:paraId="79E509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梯度提升</w:t>
            </w:r>
          </w:p>
        </w:tc>
        <w:tc>
          <w:tcPr>
            <w:tcW w:w="1813" w:type="dxa"/>
          </w:tcPr>
          <w:p w14:paraId="290A0B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61.5</w:t>
            </w:r>
          </w:p>
        </w:tc>
        <w:tc>
          <w:tcPr>
            <w:tcW w:w="1813" w:type="dxa"/>
          </w:tcPr>
          <w:p w14:paraId="664901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77.3</w:t>
            </w:r>
          </w:p>
        </w:tc>
        <w:tc>
          <w:tcPr>
            <w:tcW w:w="1813" w:type="dxa"/>
          </w:tcPr>
          <w:p w14:paraId="561A42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0.452</w:t>
            </w:r>
          </w:p>
        </w:tc>
      </w:tr>
      <w:tr w14:paraId="77507C84">
        <w:trPr>
          <w:jc w:val="center"/>
        </w:trPr>
        <w:tc>
          <w:tcPr>
            <w:tcW w:w="1813" w:type="dxa"/>
            <w:shd w:val="clear" w:color="auto" w:fill="F2F6FA"/>
          </w:tcPr>
          <w:p w14:paraId="6A62D7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CDNL</w:t>
            </w:r>
          </w:p>
        </w:tc>
        <w:tc>
          <w:tcPr>
            <w:tcW w:w="1813" w:type="dxa"/>
            <w:shd w:val="clear" w:color="auto" w:fill="F2F6FA"/>
          </w:tcPr>
          <w:p w14:paraId="17044C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Ridge回归</w:t>
            </w:r>
          </w:p>
        </w:tc>
        <w:tc>
          <w:tcPr>
            <w:tcW w:w="1813" w:type="dxa"/>
            <w:shd w:val="clear" w:color="auto" w:fill="F2F6FA"/>
          </w:tcPr>
          <w:p w14:paraId="7BE670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21.8</w:t>
            </w:r>
          </w:p>
        </w:tc>
        <w:tc>
          <w:tcPr>
            <w:tcW w:w="1813" w:type="dxa"/>
            <w:shd w:val="clear" w:color="auto" w:fill="F2F6FA"/>
          </w:tcPr>
          <w:p w14:paraId="3FED7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30.7</w:t>
            </w:r>
          </w:p>
        </w:tc>
        <w:tc>
          <w:tcPr>
            <w:tcW w:w="1813" w:type="dxa"/>
            <w:shd w:val="clear" w:color="auto" w:fill="F2F6FA"/>
          </w:tcPr>
          <w:p w14:paraId="0B227D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0.549</w:t>
            </w:r>
          </w:p>
        </w:tc>
      </w:tr>
      <w:tr w14:paraId="47BD4C66">
        <w:trPr>
          <w:jc w:val="center"/>
        </w:trPr>
        <w:tc>
          <w:tcPr>
            <w:tcW w:w="1813" w:type="dxa"/>
          </w:tcPr>
          <w:p w14:paraId="02B190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CDXL</w:t>
            </w:r>
          </w:p>
        </w:tc>
        <w:tc>
          <w:tcPr>
            <w:tcW w:w="1813" w:type="dxa"/>
          </w:tcPr>
          <w:p w14:paraId="29639F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Ridge回归</w:t>
            </w:r>
          </w:p>
        </w:tc>
        <w:tc>
          <w:tcPr>
            <w:tcW w:w="1813" w:type="dxa"/>
          </w:tcPr>
          <w:p w14:paraId="2033E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55.9</w:t>
            </w:r>
          </w:p>
        </w:tc>
        <w:tc>
          <w:tcPr>
            <w:tcW w:w="1813" w:type="dxa"/>
          </w:tcPr>
          <w:p w14:paraId="6B1DF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63.7</w:t>
            </w:r>
          </w:p>
        </w:tc>
        <w:tc>
          <w:tcPr>
            <w:tcW w:w="1813" w:type="dxa"/>
          </w:tcPr>
          <w:p w14:paraId="04551E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0.682</w:t>
            </w:r>
          </w:p>
        </w:tc>
      </w:tr>
    </w:tbl>
    <w:p w14:paraId="6D678669"/>
    <w:p w14:paraId="3A194799">
      <w:r>
        <w:rPr>
          <w:rFonts w:ascii="微软雅黑" w:hAnsi="微软雅黑" w:eastAsia="微软雅黑"/>
          <w:sz w:val="22"/>
        </w:rPr>
        <w:t>CDNL 预测精度最高（MAE=21.8，R²=0.549），CDXL 拟合度最好（R²=0.682），CDLG 波动较大，梯度提升模型表现最优。树模型（随机森林、梯度提升）在捕捉非线性时段模式上具有优势，线性模型（Ridge）在样本较少时更稳定。</w:t>
      </w:r>
    </w:p>
    <w:p w14:paraId="14D8581F">
      <w:pPr>
        <w:pStyle w:val="3"/>
      </w:pPr>
      <w:r>
        <w:rPr>
          <w:color w:val="1F4E79"/>
        </w:rPr>
        <w:t>5.3 时段分割预测实验</w:t>
      </w:r>
    </w:p>
    <w:p w14:paraId="6AD9F56A">
      <w:r>
        <w:rPr>
          <w:rFonts w:ascii="微软雅黑" w:hAnsi="微软雅黑" w:eastAsia="微软雅黑"/>
          <w:sz w:val="22"/>
        </w:rPr>
        <w:t>将 ≤14 时的数据作为训练集，&gt;14 时的数据作为测试集，模拟"用上午已知销量预测下午/晚间"的业务场景。该实验验证了模型的时间外推能力，对晚高峰备货调度具有参考价值。</w:t>
      </w:r>
    </w:p>
    <w:p w14:paraId="56A13AC2">
      <w:pPr>
        <w:pStyle w:val="2"/>
      </w:pPr>
      <w:r>
        <w:rPr>
          <w:color w:val="1F4E79"/>
        </w:rPr>
        <w:t>六、业务建议</w:t>
      </w:r>
    </w:p>
    <w:p w14:paraId="4A74E358">
      <w:r>
        <w:rPr>
          <w:rFonts w:ascii="微软雅黑" w:hAnsi="微软雅黑" w:eastAsia="微软雅黑"/>
          <w:b/>
          <w:sz w:val="22"/>
        </w:rPr>
        <w:t>1. 排班优化：</w:t>
      </w:r>
      <w:r>
        <w:rPr>
          <w:rFonts w:ascii="微软雅黑" w:hAnsi="微软雅黑" w:eastAsia="微软雅黑"/>
          <w:sz w:val="22"/>
        </w:rPr>
        <w:t>依据早高峰（8-10时）和晚高峰（17-19时）双峰规律，在高峰时段增派收银与拣货人手，CDLG 优先保障早高峰运力。</w:t>
      </w:r>
    </w:p>
    <w:p w14:paraId="1A3F304B">
      <w:r>
        <w:rPr>
          <w:rFonts w:ascii="微软雅黑" w:hAnsi="微软雅黑" w:eastAsia="微软雅黑"/>
          <w:b/>
          <w:sz w:val="22"/>
        </w:rPr>
        <w:t>2. 异常监控：</w:t>
      </w:r>
      <w:r>
        <w:rPr>
          <w:rFonts w:ascii="微软雅黑" w:hAnsi="微软雅黑" w:eastAsia="微软雅黑"/>
          <w:sz w:val="22"/>
        </w:rPr>
        <w:t>建立实时告警规则：单价超过门店 P99 或销量为负时触发预警。当前异常率 27.3%，建议纳入日常巡检。</w:t>
      </w:r>
    </w:p>
    <w:p w14:paraId="5DDA5C5B">
      <w:r>
        <w:rPr>
          <w:rFonts w:ascii="微软雅黑" w:hAnsi="微软雅黑" w:eastAsia="微软雅黑"/>
          <w:b/>
          <w:sz w:val="22"/>
        </w:rPr>
        <w:t>3. 门店对标：</w:t>
      </w:r>
      <w:r>
        <w:rPr>
          <w:rFonts w:ascii="微软雅黑" w:hAnsi="微软雅黑" w:eastAsia="微软雅黑"/>
          <w:sz w:val="22"/>
        </w:rPr>
        <w:t>CDNL 日销量（995）明显低于 CDXL（1562），建议分析品类结构、促销力度与客流差异。</w:t>
      </w:r>
    </w:p>
    <w:p w14:paraId="66BC93ED">
      <w:r>
        <w:rPr>
          <w:rFonts w:ascii="微软雅黑" w:hAnsi="微软雅黑" w:eastAsia="微软雅黑"/>
          <w:b/>
          <w:sz w:val="22"/>
        </w:rPr>
        <w:t>4. 预测应用：</w:t>
      </w:r>
      <w:r>
        <w:rPr>
          <w:rFonts w:ascii="微软雅黑" w:hAnsi="微软雅黑" w:eastAsia="微软雅黑"/>
          <w:sz w:val="22"/>
        </w:rPr>
        <w:t>部署小时级销量预测系统，支撑备货与运力调度。CDNL/CDXL 推荐 Ridge 回归，CDLG 推荐梯度提升。</w:t>
      </w:r>
    </w:p>
    <w:p w14:paraId="01BBA110">
      <w:pPr>
        <w:pStyle w:val="23"/>
        <w:numPr>
          <w:numId w:val="0"/>
        </w:numPr>
        <w:ind w:leftChars="0"/>
      </w:pPr>
      <w:r>
        <w:rPr>
          <w:rFonts w:ascii="微软雅黑" w:hAnsi="微软雅黑" w:eastAsia="微软雅黑"/>
          <w:b/>
          <w:sz w:val="22"/>
        </w:rPr>
        <w:t>5. 数据建设：</w:t>
      </w:r>
      <w:r>
        <w:rPr>
          <w:rFonts w:ascii="微软雅黑" w:hAnsi="微软雅黑" w:eastAsia="微软雅黑"/>
          <w:sz w:val="22"/>
        </w:rPr>
        <w:t>当前仅单日数据，建议持续积累 ≥30 天交易数据，以验证节假日与季度效应，</w:t>
      </w:r>
    </w:p>
    <w:p w14:paraId="2F4B3692">
      <w:pPr>
        <w:jc w:val="center"/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D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六月初</cp:lastModifiedBy>
  <dcterms:modified xsi:type="dcterms:W3CDTF">2026-07-01T18:47:18Z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F37AE00CB6F2EE5D26C3456AF95039EF_42</vt:lpwstr>
  </property>
</Properties>
</file>