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75F5E">
      <w:pPr>
        <w:spacing w:before="1240" w:after="1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C18C24"/>
          <w:sz w:val="22"/>
        </w:rPr>
        <w:t>K交易所 · 业务分析报告</w:t>
      </w:r>
    </w:p>
    <w:p w14:paraId="4476E64E">
      <w:pPr>
        <w:spacing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56"/>
        </w:rPr>
        <w:t>KOL返佣活动</w:t>
      </w:r>
      <w:r>
        <w:rPr>
          <w:rFonts w:hint="eastAsia" w:ascii="微软雅黑" w:hAnsi="微软雅黑" w:eastAsia="微软雅黑" w:cs="微软雅黑"/>
          <w:b/>
          <w:color w:val="17365D"/>
          <w:sz w:val="56"/>
        </w:rPr>
        <w:br w:type="textWrapping"/>
      </w:r>
      <w:r>
        <w:rPr>
          <w:rFonts w:hint="eastAsia" w:ascii="微软雅黑" w:hAnsi="微软雅黑" w:eastAsia="微软雅黑" w:cs="微软雅黑"/>
          <w:b/>
          <w:color w:val="17365D"/>
          <w:sz w:val="56"/>
        </w:rPr>
        <w:t>增量ROI分析报告</w:t>
      </w:r>
    </w:p>
    <w:p w14:paraId="4D08971C">
      <w:pPr>
        <w:spacing w:after="5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E75B6"/>
          <w:sz w:val="26"/>
        </w:rPr>
        <w:t>活动效果 · 真实增量 · 投入产出 · 活动后留存</w:t>
      </w: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6C465E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EEF5FB"/>
            <w:tcMar>
              <w:top w:w="135" w:type="dxa"/>
              <w:left w:w="110" w:type="dxa"/>
              <w:bottom w:w="135" w:type="dxa"/>
              <w:right w:w="110" w:type="dxa"/>
            </w:tcMar>
            <w:vAlign w:val="center"/>
          </w:tcPr>
          <w:p w14:paraId="350DEE74">
            <w:pPr>
              <w:spacing w:after="4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667085"/>
                <w:sz w:val="16"/>
              </w:rPr>
              <w:t>KOL交易额增长</w:t>
            </w:r>
          </w:p>
          <w:p w14:paraId="39B65F54">
            <w:pPr>
              <w:spacing w:after="2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75B6"/>
                <w:sz w:val="32"/>
              </w:rPr>
              <w:t>+36.98%</w:t>
            </w:r>
          </w:p>
          <w:p w14:paraId="13E046D6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67085"/>
                <w:sz w:val="15"/>
              </w:rPr>
              <w:t>活动中 vs 活动前</w:t>
            </w:r>
          </w:p>
        </w:tc>
        <w:tc>
          <w:tcPr>
            <w:tcW w:w="2340" w:type="dxa"/>
            <w:shd w:val="clear" w:color="auto" w:fill="FFF4CE"/>
            <w:tcMar>
              <w:top w:w="135" w:type="dxa"/>
              <w:left w:w="110" w:type="dxa"/>
              <w:bottom w:w="135" w:type="dxa"/>
              <w:right w:w="110" w:type="dxa"/>
            </w:tcMar>
            <w:vAlign w:val="center"/>
          </w:tcPr>
          <w:p w14:paraId="4FBC589F">
            <w:pPr>
              <w:spacing w:after="4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667085"/>
                <w:sz w:val="16"/>
              </w:rPr>
              <w:t>活动贡献占比</w:t>
            </w:r>
          </w:p>
          <w:p w14:paraId="009FB86A">
            <w:pPr>
              <w:spacing w:after="2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18C24"/>
                <w:sz w:val="32"/>
              </w:rPr>
              <w:t>78.66%</w:t>
            </w:r>
          </w:p>
          <w:p w14:paraId="6704ACD7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67085"/>
                <w:sz w:val="15"/>
              </w:rPr>
              <w:t>真实增量 / 表面增长</w:t>
            </w:r>
          </w:p>
        </w:tc>
        <w:tc>
          <w:tcPr>
            <w:tcW w:w="2340" w:type="dxa"/>
            <w:shd w:val="clear" w:color="auto" w:fill="E2F0D9"/>
            <w:tcMar>
              <w:top w:w="135" w:type="dxa"/>
              <w:left w:w="110" w:type="dxa"/>
              <w:bottom w:w="135" w:type="dxa"/>
              <w:right w:w="110" w:type="dxa"/>
            </w:tcMar>
            <w:vAlign w:val="center"/>
          </w:tcPr>
          <w:p w14:paraId="43A649FB">
            <w:pPr>
              <w:spacing w:after="4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667085"/>
                <w:sz w:val="16"/>
              </w:rPr>
              <w:t>增量ROI</w:t>
            </w:r>
          </w:p>
          <w:p w14:paraId="35CD5DC4">
            <w:pPr>
              <w:spacing w:after="2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235"/>
                <w:sz w:val="32"/>
              </w:rPr>
              <w:t>+16.74%</w:t>
            </w:r>
          </w:p>
          <w:p w14:paraId="6C49531D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67085"/>
                <w:sz w:val="15"/>
              </w:rPr>
              <w:t>增量净收益 / 增量成本</w:t>
            </w:r>
          </w:p>
        </w:tc>
        <w:tc>
          <w:tcPr>
            <w:tcW w:w="2340" w:type="dxa"/>
            <w:shd w:val="clear" w:color="auto" w:fill="F2F4F7"/>
            <w:tcMar>
              <w:top w:w="135" w:type="dxa"/>
              <w:left w:w="110" w:type="dxa"/>
              <w:bottom w:w="135" w:type="dxa"/>
              <w:right w:w="110" w:type="dxa"/>
            </w:tcMar>
            <w:vAlign w:val="center"/>
          </w:tcPr>
          <w:p w14:paraId="0AD90BE8">
            <w:pPr>
              <w:spacing w:after="4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667085"/>
                <w:sz w:val="16"/>
              </w:rPr>
              <w:t>活动后交易额</w:t>
            </w:r>
          </w:p>
          <w:p w14:paraId="59686BFF">
            <w:pPr>
              <w:spacing w:after="2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65D"/>
                <w:sz w:val="32"/>
              </w:rPr>
              <w:t>+16.47%</w:t>
            </w:r>
          </w:p>
          <w:p w14:paraId="3DB86C28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67085"/>
                <w:sz w:val="15"/>
              </w:rPr>
              <w:t>活动后 vs 活动前</w:t>
            </w:r>
          </w:p>
        </w:tc>
      </w:tr>
    </w:tbl>
    <w:p w14:paraId="6E82848C">
      <w:pPr>
        <w:spacing w:after="20"/>
        <w:rPr>
          <w:rFonts w:hint="eastAsia" w:ascii="微软雅黑" w:hAnsi="微软雅黑" w:eastAsia="微软雅黑" w:cs="微软雅黑"/>
        </w:rPr>
      </w:pPr>
    </w:p>
    <w:p w14:paraId="405C08C3">
      <w:pPr>
        <w:spacing w:after="480" w:line="283" w:lineRule="auto"/>
        <w:rPr>
          <w:rFonts w:hint="eastAsia" w:ascii="微软雅黑" w:hAnsi="微软雅黑" w:eastAsia="微软雅黑" w:cs="微软雅黑"/>
        </w:rPr>
      </w:pPr>
    </w:p>
    <w:p w14:paraId="1F666C08">
      <w:pPr>
        <w:spacing w:after="480" w:line="283" w:lineRule="auto"/>
        <w:rPr>
          <w:rFonts w:hint="eastAsia" w:ascii="微软雅黑" w:hAnsi="微软雅黑" w:eastAsia="微软雅黑" w:cs="微软雅黑"/>
        </w:rPr>
      </w:pP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1F1FE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7F9FC"/>
            <w:tcMar>
              <w:top w:w="115" w:type="dxa"/>
              <w:left w:w="140" w:type="dxa"/>
              <w:bottom w:w="115" w:type="dxa"/>
              <w:right w:w="140" w:type="dxa"/>
            </w:tcMar>
            <w:vAlign w:val="center"/>
          </w:tcPr>
          <w:p w14:paraId="2556AAE5">
            <w:pPr>
              <w:spacing w:after="4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667085"/>
                <w:sz w:val="16"/>
              </w:rPr>
              <w:t>分析周期</w:t>
            </w:r>
            <w:r>
              <w:rPr>
                <w:rFonts w:hint="eastAsia" w:ascii="微软雅黑" w:hAnsi="微软雅黑" w:eastAsia="微软雅黑" w:cs="微软雅黑"/>
                <w:b/>
                <w:color w:val="667085"/>
                <w:sz w:val="16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color w:val="17365D"/>
                <w:sz w:val="18"/>
              </w:rPr>
              <w:t>2026/05/01—2026/07/29</w:t>
            </w:r>
          </w:p>
        </w:tc>
        <w:tc>
          <w:tcPr>
            <w:tcW w:w="4680" w:type="dxa"/>
            <w:shd w:val="clear" w:color="auto" w:fill="F7F9FC"/>
            <w:tcMar>
              <w:top w:w="115" w:type="dxa"/>
              <w:left w:w="140" w:type="dxa"/>
              <w:bottom w:w="115" w:type="dxa"/>
              <w:right w:w="140" w:type="dxa"/>
            </w:tcMar>
            <w:vAlign w:val="center"/>
          </w:tcPr>
          <w:p w14:paraId="26221779">
            <w:pPr>
              <w:spacing w:after="4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667085"/>
                <w:sz w:val="16"/>
              </w:rPr>
              <w:t>观察窗口</w:t>
            </w:r>
            <w:r>
              <w:rPr>
                <w:rFonts w:hint="eastAsia" w:ascii="微软雅黑" w:hAnsi="微软雅黑" w:eastAsia="微软雅黑" w:cs="微软雅黑"/>
                <w:b/>
                <w:color w:val="667085"/>
                <w:sz w:val="16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color w:val="17365D"/>
                <w:sz w:val="18"/>
              </w:rPr>
              <w:t>活动前 / 活动中 / 活动后，各30天</w:t>
            </w:r>
          </w:p>
        </w:tc>
      </w:tr>
      <w:tr w14:paraId="081B3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7F9FC"/>
            <w:tcMar>
              <w:top w:w="115" w:type="dxa"/>
              <w:left w:w="140" w:type="dxa"/>
              <w:bottom w:w="115" w:type="dxa"/>
              <w:right w:w="140" w:type="dxa"/>
            </w:tcMar>
            <w:vAlign w:val="center"/>
          </w:tcPr>
          <w:p w14:paraId="6B4412C2">
            <w:pPr>
              <w:spacing w:after="4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667085"/>
                <w:sz w:val="16"/>
              </w:rPr>
              <w:t>分析工具</w:t>
            </w:r>
            <w:r>
              <w:rPr>
                <w:rFonts w:hint="eastAsia" w:ascii="微软雅黑" w:hAnsi="微软雅黑" w:eastAsia="微软雅黑" w:cs="微软雅黑"/>
                <w:b/>
                <w:color w:val="667085"/>
                <w:sz w:val="16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color w:val="17365D"/>
                <w:sz w:val="18"/>
              </w:rPr>
              <w:t>SQL · Excel · 增量归因 · ROI模型</w:t>
            </w:r>
          </w:p>
        </w:tc>
        <w:tc>
          <w:tcPr>
            <w:tcW w:w="4680" w:type="dxa"/>
            <w:shd w:val="clear" w:color="auto" w:fill="F7F9FC"/>
            <w:tcMar>
              <w:top w:w="115" w:type="dxa"/>
              <w:left w:w="140" w:type="dxa"/>
              <w:bottom w:w="115" w:type="dxa"/>
              <w:right w:w="140" w:type="dxa"/>
            </w:tcMar>
            <w:vAlign w:val="center"/>
          </w:tcPr>
          <w:p w14:paraId="2875D716">
            <w:pPr>
              <w:spacing w:after="4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667085"/>
                <w:sz w:val="16"/>
              </w:rPr>
              <w:t>金额单位</w:t>
            </w:r>
            <w:r>
              <w:rPr>
                <w:rFonts w:hint="eastAsia" w:ascii="微软雅黑" w:hAnsi="微软雅黑" w:eastAsia="微软雅黑" w:cs="微软雅黑"/>
                <w:b/>
                <w:color w:val="667085"/>
                <w:sz w:val="16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color w:val="17365D"/>
                <w:sz w:val="18"/>
              </w:rPr>
              <w:t>U（沿用源数据定义）</w:t>
            </w:r>
          </w:p>
        </w:tc>
      </w:tr>
    </w:tbl>
    <w:p w14:paraId="22FFEF5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6B0B69E5">
      <w:pPr>
        <w:spacing w:before="1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48"/>
        </w:rPr>
        <w:t>目录</w:t>
      </w:r>
    </w:p>
    <w:p w14:paraId="1BA6B361">
      <w:pPr>
        <w:spacing w:before="20"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C18C24"/>
          <w:sz w:val="20"/>
        </w:rPr>
        <w:t>0</w:t>
      </w:r>
      <w:r>
        <w:rPr>
          <w:rFonts w:hint="eastAsia" w:cs="微软雅黑"/>
          <w:b/>
          <w:color w:val="C18C24"/>
          <w:sz w:val="20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color w:val="1F2937"/>
          <w:sz w:val="22"/>
        </w:rPr>
        <w:t xml:space="preserve">  项目背景、数据口径与方法</w:t>
      </w:r>
    </w:p>
    <w:p w14:paraId="1BF9BBC3">
      <w:pPr>
        <w:spacing w:before="20"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C18C24"/>
          <w:sz w:val="20"/>
        </w:rPr>
        <w:t>0</w:t>
      </w:r>
      <w:r>
        <w:rPr>
          <w:rFonts w:hint="eastAsia" w:cs="微软雅黑"/>
          <w:b/>
          <w:color w:val="C18C24"/>
          <w:sz w:val="20"/>
          <w:lang w:val="en-US" w:eastAsia="zh-CN"/>
        </w:rPr>
        <w:t xml:space="preserve">2 </w:t>
      </w:r>
      <w:r>
        <w:rPr>
          <w:rFonts w:hint="eastAsia" w:ascii="微软雅黑" w:hAnsi="微软雅黑" w:eastAsia="微软雅黑" w:cs="微软雅黑"/>
          <w:color w:val="1F2937"/>
          <w:sz w:val="22"/>
        </w:rPr>
        <w:t xml:space="preserve"> 活动效果初步验证</w:t>
      </w:r>
    </w:p>
    <w:p w14:paraId="3D8E84DF">
      <w:pPr>
        <w:spacing w:before="20"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C18C24"/>
          <w:sz w:val="20"/>
        </w:rPr>
        <w:t>0</w:t>
      </w:r>
      <w:r>
        <w:rPr>
          <w:rFonts w:hint="eastAsia" w:cs="微软雅黑"/>
          <w:b/>
          <w:color w:val="C18C24"/>
          <w:sz w:val="20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1F2937"/>
          <w:sz w:val="22"/>
        </w:rPr>
        <w:t xml:space="preserve">  剥离自然增长与真实增量</w:t>
      </w:r>
    </w:p>
    <w:p w14:paraId="164A1440">
      <w:pPr>
        <w:spacing w:before="20"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C18C24"/>
          <w:sz w:val="20"/>
        </w:rPr>
        <w:t>0</w:t>
      </w:r>
      <w:r>
        <w:rPr>
          <w:rFonts w:hint="eastAsia" w:cs="微软雅黑"/>
          <w:b/>
          <w:color w:val="C18C24"/>
          <w:sz w:val="20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color w:val="1F2937"/>
          <w:sz w:val="22"/>
        </w:rPr>
        <w:t xml:space="preserve">  增量ROI评估</w:t>
      </w:r>
    </w:p>
    <w:p w14:paraId="2E216667">
      <w:pPr>
        <w:spacing w:before="20"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C18C24"/>
          <w:sz w:val="20"/>
        </w:rPr>
        <w:t>0</w:t>
      </w:r>
      <w:r>
        <w:rPr>
          <w:rFonts w:hint="eastAsia" w:cs="微软雅黑"/>
          <w:b/>
          <w:color w:val="C18C24"/>
          <w:sz w:val="20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color w:val="1F2937"/>
          <w:sz w:val="22"/>
        </w:rPr>
        <w:t xml:space="preserve">  活动后留存效果分析</w:t>
      </w:r>
    </w:p>
    <w:p w14:paraId="200873F3">
      <w:pPr>
        <w:spacing w:before="20"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C18C24"/>
          <w:sz w:val="20"/>
        </w:rPr>
        <w:t>0</w:t>
      </w:r>
      <w:r>
        <w:rPr>
          <w:rFonts w:hint="eastAsia" w:cs="微软雅黑"/>
          <w:b/>
          <w:color w:val="C18C24"/>
          <w:sz w:val="20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color w:val="1F2937"/>
          <w:sz w:val="22"/>
        </w:rPr>
        <w:t xml:space="preserve">  </w:t>
      </w:r>
      <w:r>
        <w:rPr>
          <w:rFonts w:hint="eastAsia" w:cs="微软雅黑"/>
          <w:color w:val="1F2937"/>
          <w:sz w:val="22"/>
          <w:lang w:val="en-US" w:eastAsia="zh-CN"/>
        </w:rPr>
        <w:t>核心结论及</w:t>
      </w:r>
      <w:r>
        <w:rPr>
          <w:rFonts w:hint="eastAsia" w:ascii="微软雅黑" w:hAnsi="微软雅黑" w:eastAsia="微软雅黑" w:cs="微软雅黑"/>
          <w:color w:val="1F2937"/>
          <w:sz w:val="22"/>
        </w:rPr>
        <w:t>业务建议</w:t>
      </w:r>
    </w:p>
    <w:p w14:paraId="6D09D14A">
      <w:pPr>
        <w:spacing w:before="20"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C18C24"/>
          <w:sz w:val="20"/>
        </w:rPr>
        <w:t>附录</w:t>
      </w:r>
      <w:r>
        <w:rPr>
          <w:rFonts w:hint="eastAsia" w:ascii="微软雅黑" w:hAnsi="微软雅黑" w:eastAsia="微软雅黑" w:cs="微软雅黑"/>
          <w:color w:val="1F2937"/>
          <w:sz w:val="22"/>
        </w:rPr>
        <w:t xml:space="preserve">  指标口径、关键数据与完整SQL</w:t>
      </w:r>
    </w:p>
    <w:p w14:paraId="15DA5E7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1F09D38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01</w:t>
      </w:r>
      <w:r>
        <w:rPr>
          <w:rFonts w:hint="eastAsia" w:ascii="微软雅黑" w:hAnsi="微软雅黑" w:eastAsia="微软雅黑" w:cs="微软雅黑"/>
        </w:rPr>
        <w:t xml:space="preserve">  项目背景、数据口径与方法</w:t>
      </w:r>
    </w:p>
    <w:p w14:paraId="79511C3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</w:t>
      </w:r>
      <w:r>
        <w:rPr>
          <w:rFonts w:hint="eastAsia" w:ascii="微软雅黑" w:hAnsi="微软雅黑" w:eastAsia="微软雅黑" w:cs="微软雅黑"/>
        </w:rPr>
        <w:t>.1 业务背景与分析目标</w:t>
      </w: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68C25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EF5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D60FAD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cs="微软雅黑"/>
                <w:b/>
                <w:color w:val="1F4E79"/>
                <w:sz w:val="20"/>
                <w:lang w:val="en-US" w:eastAsia="zh-CN"/>
              </w:rPr>
              <w:t>业务背景</w:t>
            </w:r>
            <w:r>
              <w:rPr>
                <w:rFonts w:hint="eastAsia" w:ascii="微软雅黑" w:hAnsi="微软雅黑" w:eastAsia="微软雅黑" w:cs="微软雅黑"/>
                <w:b/>
                <w:color w:val="1F4E79"/>
                <w:sz w:val="20"/>
              </w:rPr>
              <w:t>｜</w:t>
            </w:r>
            <w:r>
              <w:rPr>
                <w:rFonts w:hint="eastAsia" w:ascii="微软雅黑" w:hAnsi="微软雅黑" w:eastAsia="微软雅黑" w:cs="微软雅黑"/>
                <w:color w:val="1F2937"/>
              </w:rPr>
              <w:t>K交易所将KOL返佣比例由15%提升至30%，活动持续30天</w:t>
            </w:r>
            <w:r>
              <w:rPr>
                <w:rFonts w:hint="eastAsia" w:cs="微软雅黑"/>
                <w:color w:val="1F2937"/>
                <w:lang w:eastAsia="zh-CN"/>
              </w:rPr>
              <w:t>。</w:t>
            </w:r>
            <w:r>
              <w:rPr>
                <w:rFonts w:hint="eastAsia" w:ascii="微软雅黑" w:hAnsi="微软雅黑" w:eastAsia="微软雅黑" w:cs="微软雅黑"/>
                <w:color w:val="1F2937"/>
              </w:rPr>
              <w:t>运营观察到活动期间KOL交易额上涨，需要判断增长是否真正由活动驱动</w:t>
            </w:r>
            <w:r>
              <w:rPr>
                <w:rFonts w:hint="eastAsia" w:cs="微软雅黑"/>
                <w:color w:val="1F2937"/>
                <w:lang w:eastAsia="zh-CN"/>
              </w:rPr>
              <w:t>。</w:t>
            </w:r>
          </w:p>
        </w:tc>
      </w:tr>
    </w:tbl>
    <w:p w14:paraId="514D8678">
      <w:pPr>
        <w:rPr>
          <w:rFonts w:hint="eastAsia"/>
        </w:rPr>
      </w:pPr>
    </w:p>
    <w:tbl>
      <w:tblPr>
        <w:tblStyle w:val="33"/>
        <w:tblW w:w="9360" w:type="dxa"/>
        <w:tblInd w:w="120" w:type="dxa"/>
        <w:shd w:val="clear" w:color="auto" w:fill="F7F6B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1BC79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7F6B6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9B8C2FB">
            <w:pPr>
              <w:spacing w:after="0" w:line="264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cs="微软雅黑"/>
                <w:b/>
                <w:color w:val="1F4E79"/>
                <w:sz w:val="20"/>
                <w:lang w:val="en-US" w:eastAsia="zh-CN"/>
              </w:rPr>
              <w:t>分析目标</w:t>
            </w:r>
            <w:r>
              <w:rPr>
                <w:rFonts w:hint="eastAsia" w:ascii="微软雅黑" w:hAnsi="微软雅黑" w:eastAsia="微软雅黑" w:cs="微软雅黑"/>
                <w:b/>
                <w:color w:val="1F4E79"/>
                <w:sz w:val="20"/>
              </w:rPr>
              <w:t>｜</w:t>
            </w:r>
            <w:r>
              <w:rPr>
                <w:rFonts w:hint="eastAsia" w:ascii="微软雅黑" w:hAnsi="微软雅黑" w:eastAsia="微软雅黑" w:cs="微软雅黑"/>
                <w:color w:val="1F2937"/>
              </w:rPr>
              <w:t>活动带来的增量价值是否覆盖投入成本，活动是否值得持续开展。</w:t>
            </w:r>
          </w:p>
        </w:tc>
      </w:tr>
    </w:tbl>
    <w:p w14:paraId="3A4BF584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</w:t>
      </w:r>
      <w:r>
        <w:rPr>
          <w:rFonts w:hint="eastAsia" w:ascii="微软雅黑" w:hAnsi="微软雅黑" w:eastAsia="微软雅黑" w:cs="微软雅黑"/>
        </w:rPr>
        <w:t xml:space="preserve">.2 </w:t>
      </w:r>
      <w:r>
        <w:rPr>
          <w:rFonts w:hint="eastAsia" w:ascii="微软雅黑" w:hAnsi="微软雅黑" w:eastAsia="微软雅黑" w:cs="微软雅黑"/>
          <w:lang w:val="en-US" w:eastAsia="zh-CN"/>
        </w:rPr>
        <w:t>数据说明与核心指标口径</w:t>
      </w:r>
    </w:p>
    <w:p w14:paraId="3FC96468">
      <w:pPr>
        <w:spacing w:after="120" w:line="269" w:lineRule="auto"/>
        <w:jc w:val="both"/>
        <w:rPr>
          <w:rFonts w:hint="default" w:ascii="微软雅黑" w:hAnsi="微软雅黑" w:eastAsia="微软雅黑" w:cs="微软雅黑"/>
          <w:color w:val="1F2937"/>
          <w:lang w:val="en-US" w:eastAsia="zh-CN"/>
        </w:rPr>
      </w:pPr>
      <w:r>
        <w:rPr>
          <w:rFonts w:hint="default" w:ascii="微软雅黑" w:hAnsi="微软雅黑" w:eastAsia="微软雅黑" w:cs="微软雅黑"/>
          <w:color w:val="1F2937"/>
          <w:lang w:val="en-US" w:eastAsia="zh-CN"/>
        </w:rPr>
        <w:t>研究对象为参与返佣活动的KOL客群，Retail散户未参与活动，用于衡量同期市场自然增长。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400"/>
        <w:gridCol w:w="900"/>
        <w:gridCol w:w="1500"/>
        <w:gridCol w:w="3360"/>
      </w:tblGrid>
      <w:tr w14:paraId="479B2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0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26012E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w="240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882B3B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日期</w:t>
            </w:r>
          </w:p>
        </w:tc>
        <w:tc>
          <w:tcPr>
            <w:tcW w:w="90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F25358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天数</w:t>
            </w:r>
          </w:p>
        </w:tc>
        <w:tc>
          <w:tcPr>
            <w:tcW w:w="150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E09B61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KOL返佣率</w:t>
            </w:r>
          </w:p>
        </w:tc>
        <w:tc>
          <w:tcPr>
            <w:tcW w:w="336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FE5984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用途</w:t>
            </w:r>
          </w:p>
        </w:tc>
      </w:tr>
      <w:tr w14:paraId="64025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</w:tcPr>
          <w:p w14:paraId="2CADEBB3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7"/>
              </w:rPr>
              <w:t>活动前</w:t>
            </w:r>
          </w:p>
        </w:tc>
        <w:tc>
          <w:tcPr>
            <w:tcW w:w="2400" w:type="dxa"/>
          </w:tcPr>
          <w:p w14:paraId="0F6EB20F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7"/>
              </w:rPr>
              <w:t>2026/05/01—05/30</w:t>
            </w:r>
          </w:p>
        </w:tc>
        <w:tc>
          <w:tcPr>
            <w:tcW w:w="900" w:type="dxa"/>
          </w:tcPr>
          <w:p w14:paraId="05BB6FD1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7"/>
              </w:rPr>
              <w:t>30</w:t>
            </w:r>
          </w:p>
        </w:tc>
        <w:tc>
          <w:tcPr>
            <w:tcW w:w="1500" w:type="dxa"/>
          </w:tcPr>
          <w:p w14:paraId="33FA3628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7"/>
              </w:rPr>
              <w:t>15%</w:t>
            </w:r>
          </w:p>
        </w:tc>
        <w:tc>
          <w:tcPr>
            <w:tcW w:w="3360" w:type="dxa"/>
          </w:tcPr>
          <w:p w14:paraId="00D8933D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7"/>
              </w:rPr>
              <w:t>建立基准</w:t>
            </w:r>
          </w:p>
        </w:tc>
      </w:tr>
      <w:tr w14:paraId="77B28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shd w:val="clear" w:color="auto" w:fill="F7F9FC"/>
          </w:tcPr>
          <w:p w14:paraId="73A09206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7"/>
              </w:rPr>
              <w:t>活动中</w:t>
            </w:r>
          </w:p>
        </w:tc>
        <w:tc>
          <w:tcPr>
            <w:tcW w:w="2400" w:type="dxa"/>
            <w:shd w:val="clear" w:color="auto" w:fill="F7F9FC"/>
          </w:tcPr>
          <w:p w14:paraId="00F8C20C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7"/>
              </w:rPr>
              <w:t>2026/05/31—06/29</w:t>
            </w:r>
          </w:p>
        </w:tc>
        <w:tc>
          <w:tcPr>
            <w:tcW w:w="900" w:type="dxa"/>
            <w:shd w:val="clear" w:color="auto" w:fill="F7F9FC"/>
          </w:tcPr>
          <w:p w14:paraId="753F7E31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7"/>
              </w:rPr>
              <w:t>30</w:t>
            </w:r>
          </w:p>
        </w:tc>
        <w:tc>
          <w:tcPr>
            <w:tcW w:w="1500" w:type="dxa"/>
            <w:shd w:val="clear" w:color="auto" w:fill="F7F9FC"/>
          </w:tcPr>
          <w:p w14:paraId="672873AE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7"/>
              </w:rPr>
              <w:t>30%</w:t>
            </w:r>
          </w:p>
        </w:tc>
        <w:tc>
          <w:tcPr>
            <w:tcW w:w="3360" w:type="dxa"/>
            <w:shd w:val="clear" w:color="auto" w:fill="F7F9FC"/>
          </w:tcPr>
          <w:p w14:paraId="6B32AB2F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7"/>
              </w:rPr>
              <w:t>评估活动效果</w:t>
            </w:r>
          </w:p>
        </w:tc>
      </w:tr>
      <w:tr w14:paraId="47169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</w:tcPr>
          <w:p w14:paraId="51ED8598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7"/>
              </w:rPr>
              <w:t>活动后</w:t>
            </w:r>
          </w:p>
        </w:tc>
        <w:tc>
          <w:tcPr>
            <w:tcW w:w="2400" w:type="dxa"/>
          </w:tcPr>
          <w:p w14:paraId="711AAC8D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7"/>
              </w:rPr>
              <w:t>2026/06/30—07/29</w:t>
            </w:r>
          </w:p>
        </w:tc>
        <w:tc>
          <w:tcPr>
            <w:tcW w:w="900" w:type="dxa"/>
          </w:tcPr>
          <w:p w14:paraId="31081FC6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7"/>
              </w:rPr>
              <w:t>30</w:t>
            </w:r>
          </w:p>
        </w:tc>
        <w:tc>
          <w:tcPr>
            <w:tcW w:w="1500" w:type="dxa"/>
          </w:tcPr>
          <w:p w14:paraId="2EBB3BAA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7"/>
              </w:rPr>
              <w:t>15%</w:t>
            </w:r>
          </w:p>
        </w:tc>
        <w:tc>
          <w:tcPr>
            <w:tcW w:w="3360" w:type="dxa"/>
          </w:tcPr>
          <w:p w14:paraId="5A5DBC3B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7"/>
              </w:rPr>
              <w:t>观察效果延续</w:t>
            </w:r>
          </w:p>
        </w:tc>
      </w:tr>
    </w:tbl>
    <w:p w14:paraId="64E1C869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4200"/>
        <w:gridCol w:w="3060"/>
      </w:tblGrid>
      <w:tr w14:paraId="70B43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43AF79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w="420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CAFAB7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计算口径</w:t>
            </w:r>
          </w:p>
        </w:tc>
        <w:tc>
          <w:tcPr>
            <w:tcW w:w="306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2DC209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解释</w:t>
            </w:r>
          </w:p>
        </w:tc>
      </w:tr>
      <w:tr w14:paraId="1643A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</w:tcPr>
          <w:p w14:paraId="787EE698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Retail自然增长率</w:t>
            </w:r>
          </w:p>
        </w:tc>
        <w:tc>
          <w:tcPr>
            <w:tcW w:w="4200" w:type="dxa"/>
          </w:tcPr>
          <w:p w14:paraId="0FB9716C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活动中Retail交易额 / 活动前Retail交易额－1</w:t>
            </w:r>
          </w:p>
        </w:tc>
        <w:tc>
          <w:tcPr>
            <w:tcW w:w="3060" w:type="dxa"/>
          </w:tcPr>
          <w:p w14:paraId="43C9E72F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同期市场自然趋势代理</w:t>
            </w:r>
          </w:p>
        </w:tc>
      </w:tr>
      <w:tr w14:paraId="1D02E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7F9FC"/>
          </w:tcPr>
          <w:p w14:paraId="6A63FBE2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无活动KOL理论交易额</w:t>
            </w:r>
          </w:p>
        </w:tc>
        <w:tc>
          <w:tcPr>
            <w:tcW w:w="4200" w:type="dxa"/>
            <w:shd w:val="clear" w:color="auto" w:fill="F7F9FC"/>
          </w:tcPr>
          <w:p w14:paraId="296FEE2E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活动前KOL交易额 ×（1＋Retail自然增长率）</w:t>
            </w:r>
          </w:p>
        </w:tc>
        <w:tc>
          <w:tcPr>
            <w:tcW w:w="3060" w:type="dxa"/>
            <w:shd w:val="clear" w:color="auto" w:fill="F7F9FC"/>
          </w:tcPr>
          <w:p w14:paraId="66EFE220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KOL在不提升返佣时的反事实基线</w:t>
            </w:r>
          </w:p>
        </w:tc>
      </w:tr>
      <w:tr w14:paraId="4FADD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</w:tcPr>
          <w:p w14:paraId="2D92CD3C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活动真实增量</w:t>
            </w:r>
          </w:p>
        </w:tc>
        <w:tc>
          <w:tcPr>
            <w:tcW w:w="4200" w:type="dxa"/>
          </w:tcPr>
          <w:p w14:paraId="49138A81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活动中KOL实际交易额－无活动理论交易额</w:t>
            </w:r>
          </w:p>
        </w:tc>
        <w:tc>
          <w:tcPr>
            <w:tcW w:w="3060" w:type="dxa"/>
          </w:tcPr>
          <w:p w14:paraId="1546AE56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超出自然趋势的新增交易</w:t>
            </w:r>
          </w:p>
        </w:tc>
      </w:tr>
      <w:tr w14:paraId="06D57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7F9FC"/>
          </w:tcPr>
          <w:p w14:paraId="2ECDE990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增量毛手续费</w:t>
            </w:r>
          </w:p>
        </w:tc>
        <w:tc>
          <w:tcPr>
            <w:tcW w:w="4200" w:type="dxa"/>
            <w:shd w:val="clear" w:color="auto" w:fill="F7F9FC"/>
          </w:tcPr>
          <w:p w14:paraId="6EF10072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活动真实增量 × 活动前KOL毛手续费率</w:t>
            </w:r>
          </w:p>
        </w:tc>
        <w:tc>
          <w:tcPr>
            <w:tcW w:w="3060" w:type="dxa"/>
            <w:shd w:val="clear" w:color="auto" w:fill="F7F9FC"/>
          </w:tcPr>
          <w:p w14:paraId="42B9C836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新增交易带来的毛手续费收入</w:t>
            </w:r>
          </w:p>
        </w:tc>
      </w:tr>
      <w:tr w14:paraId="7E030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</w:tcPr>
          <w:p w14:paraId="4F97091C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增量返佣成本</w:t>
            </w:r>
          </w:p>
        </w:tc>
        <w:tc>
          <w:tcPr>
            <w:tcW w:w="4200" w:type="dxa"/>
          </w:tcPr>
          <w:p w14:paraId="6B3FDFB3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活动中实际返佣－无活动理论返佣</w:t>
            </w:r>
          </w:p>
        </w:tc>
        <w:tc>
          <w:tcPr>
            <w:tcW w:w="3060" w:type="dxa"/>
          </w:tcPr>
          <w:p w14:paraId="09A64816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为本次活动新增支付的返佣</w:t>
            </w:r>
          </w:p>
        </w:tc>
      </w:tr>
      <w:tr w14:paraId="2B1F0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7F9FC"/>
          </w:tcPr>
          <w:p w14:paraId="33D8E029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增量ROI</w:t>
            </w:r>
          </w:p>
        </w:tc>
        <w:tc>
          <w:tcPr>
            <w:tcW w:w="4200" w:type="dxa"/>
            <w:shd w:val="clear" w:color="auto" w:fill="F7F9FC"/>
          </w:tcPr>
          <w:p w14:paraId="49D7BAB5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（增量毛手续费－增量返佣成本）/ 增量返佣成本</w:t>
            </w:r>
          </w:p>
        </w:tc>
        <w:tc>
          <w:tcPr>
            <w:tcW w:w="3060" w:type="dxa"/>
            <w:shd w:val="clear" w:color="auto" w:fill="F7F9FC"/>
          </w:tcPr>
          <w:p w14:paraId="5A67882C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每1 U增量成本带来的净收益率</w:t>
            </w:r>
          </w:p>
        </w:tc>
      </w:tr>
    </w:tbl>
    <w:p w14:paraId="6FAAF3DF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1A34D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CE2AB9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667085"/>
                <w:sz w:val="20"/>
              </w:rPr>
              <w:t>单位说明｜</w:t>
            </w:r>
            <w:r>
              <w:rPr>
                <w:rFonts w:hint="eastAsia" w:ascii="微软雅黑" w:hAnsi="微软雅黑" w:eastAsia="微软雅黑" w:cs="微软雅黑"/>
                <w:color w:val="1F2937"/>
                <w:sz w:val="20"/>
              </w:rPr>
              <w:t>金额单位统一沿用源数据字段中的“U”。</w:t>
            </w:r>
          </w:p>
        </w:tc>
      </w:tr>
    </w:tbl>
    <w:p w14:paraId="72A8DD94">
      <w:pPr>
        <w:spacing w:after="20"/>
        <w:rPr>
          <w:rFonts w:hint="eastAsia" w:ascii="微软雅黑" w:hAnsi="微软雅黑" w:eastAsia="微软雅黑" w:cs="微软雅黑"/>
        </w:rPr>
      </w:pPr>
    </w:p>
    <w:p w14:paraId="0D2B1C4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</w:t>
      </w: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 xml:space="preserve">  活动效果初步验证</w:t>
      </w:r>
    </w:p>
    <w:p w14:paraId="652D7E5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>.1 阶段指标总览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1900"/>
        <w:gridCol w:w="1550"/>
        <w:gridCol w:w="1450"/>
        <w:gridCol w:w="1550"/>
        <w:gridCol w:w="1810"/>
      </w:tblGrid>
      <w:tr w14:paraId="4ED27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0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21C210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</w:rPr>
              <w:t>阶段</w:t>
            </w:r>
          </w:p>
        </w:tc>
        <w:tc>
          <w:tcPr>
            <w:tcW w:w="190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F7A8A6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</w:rPr>
              <w:t>KOL交易额</w:t>
            </w:r>
          </w:p>
        </w:tc>
        <w:tc>
          <w:tcPr>
            <w:tcW w:w="155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0A9F32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</w:rPr>
              <w:t>KOL毛手续费</w:t>
            </w:r>
          </w:p>
        </w:tc>
        <w:tc>
          <w:tcPr>
            <w:tcW w:w="145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F726FA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</w:rPr>
              <w:t>KOL返佣</w:t>
            </w:r>
          </w:p>
        </w:tc>
        <w:tc>
          <w:tcPr>
            <w:tcW w:w="155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5B0BC1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</w:rPr>
              <w:t>KOL净手续费</w:t>
            </w:r>
          </w:p>
        </w:tc>
        <w:tc>
          <w:tcPr>
            <w:tcW w:w="181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ABB21C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</w:rPr>
              <w:t>Retail交易额</w:t>
            </w:r>
          </w:p>
        </w:tc>
      </w:tr>
      <w:tr w14:paraId="13D42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</w:tcPr>
          <w:p w14:paraId="4A051622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活动前</w:t>
            </w:r>
          </w:p>
        </w:tc>
        <w:tc>
          <w:tcPr>
            <w:tcW w:w="1900" w:type="dxa"/>
          </w:tcPr>
          <w:p w14:paraId="3FEDA9E1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153,036,245.31</w:t>
            </w:r>
          </w:p>
        </w:tc>
        <w:tc>
          <w:tcPr>
            <w:tcW w:w="1550" w:type="dxa"/>
          </w:tcPr>
          <w:p w14:paraId="6C1840E7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30,329.09</w:t>
            </w:r>
          </w:p>
        </w:tc>
        <w:tc>
          <w:tcPr>
            <w:tcW w:w="1450" w:type="dxa"/>
          </w:tcPr>
          <w:p w14:paraId="23AF8C92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4,549.36</w:t>
            </w:r>
          </w:p>
        </w:tc>
        <w:tc>
          <w:tcPr>
            <w:tcW w:w="1550" w:type="dxa"/>
          </w:tcPr>
          <w:p w14:paraId="2FEB6FE9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25,779.73</w:t>
            </w:r>
          </w:p>
        </w:tc>
        <w:tc>
          <w:tcPr>
            <w:tcW w:w="1810" w:type="dxa"/>
          </w:tcPr>
          <w:p w14:paraId="1E3DF2A2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90,830,974.76</w:t>
            </w:r>
          </w:p>
        </w:tc>
      </w:tr>
      <w:tr w14:paraId="4BE0A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shd w:val="clear" w:color="auto" w:fill="F7F9FC"/>
          </w:tcPr>
          <w:p w14:paraId="6C3C7595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活动中</w:t>
            </w:r>
          </w:p>
        </w:tc>
        <w:tc>
          <w:tcPr>
            <w:tcW w:w="1900" w:type="dxa"/>
            <w:shd w:val="clear" w:color="auto" w:fill="F7F9FC"/>
          </w:tcPr>
          <w:p w14:paraId="66ED9C75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209,622,432.51</w:t>
            </w:r>
          </w:p>
        </w:tc>
        <w:tc>
          <w:tcPr>
            <w:tcW w:w="1550" w:type="dxa"/>
            <w:shd w:val="clear" w:color="auto" w:fill="F7F9FC"/>
          </w:tcPr>
          <w:p w14:paraId="42419E60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41,548.82</w:t>
            </w:r>
          </w:p>
        </w:tc>
        <w:tc>
          <w:tcPr>
            <w:tcW w:w="1450" w:type="dxa"/>
            <w:shd w:val="clear" w:color="auto" w:fill="F7F9FC"/>
          </w:tcPr>
          <w:p w14:paraId="268FF507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12,464.65</w:t>
            </w:r>
          </w:p>
        </w:tc>
        <w:tc>
          <w:tcPr>
            <w:tcW w:w="1550" w:type="dxa"/>
            <w:shd w:val="clear" w:color="auto" w:fill="F7F9FC"/>
          </w:tcPr>
          <w:p w14:paraId="3B8CF647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29,084.18</w:t>
            </w:r>
          </w:p>
        </w:tc>
        <w:tc>
          <w:tcPr>
            <w:tcW w:w="1810" w:type="dxa"/>
            <w:shd w:val="clear" w:color="auto" w:fill="F7F9FC"/>
          </w:tcPr>
          <w:p w14:paraId="1D896926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97,999,314.42</w:t>
            </w:r>
          </w:p>
        </w:tc>
      </w:tr>
      <w:tr w14:paraId="55636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</w:tcPr>
          <w:p w14:paraId="775DC842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活动后</w:t>
            </w:r>
          </w:p>
        </w:tc>
        <w:tc>
          <w:tcPr>
            <w:tcW w:w="1900" w:type="dxa"/>
          </w:tcPr>
          <w:p w14:paraId="7786A471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178,245,437.69</w:t>
            </w:r>
          </w:p>
        </w:tc>
        <w:tc>
          <w:tcPr>
            <w:tcW w:w="1550" w:type="dxa"/>
          </w:tcPr>
          <w:p w14:paraId="43262189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35,751.98</w:t>
            </w:r>
          </w:p>
        </w:tc>
        <w:tc>
          <w:tcPr>
            <w:tcW w:w="1450" w:type="dxa"/>
          </w:tcPr>
          <w:p w14:paraId="2CEBF170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5,362.80</w:t>
            </w:r>
          </w:p>
        </w:tc>
        <w:tc>
          <w:tcPr>
            <w:tcW w:w="1550" w:type="dxa"/>
          </w:tcPr>
          <w:p w14:paraId="1EAA17EA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30,389.19</w:t>
            </w:r>
          </w:p>
        </w:tc>
        <w:tc>
          <w:tcPr>
            <w:tcW w:w="1810" w:type="dxa"/>
          </w:tcPr>
          <w:p w14:paraId="554BBE37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102,783,488.59</w:t>
            </w:r>
          </w:p>
        </w:tc>
      </w:tr>
    </w:tbl>
    <w:p w14:paraId="5BE3B968">
      <w:pPr>
        <w:spacing w:after="20"/>
        <w:rPr>
          <w:rFonts w:hint="eastAsia" w:ascii="微软雅黑" w:hAnsi="微软雅黑" w:eastAsia="微软雅黑" w:cs="微软雅黑"/>
        </w:rPr>
      </w:pPr>
    </w:p>
    <w:p w14:paraId="7F55F9E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>.2 表面增量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700"/>
        <w:gridCol w:w="1700"/>
        <w:gridCol w:w="2360"/>
        <w:gridCol w:w="1800"/>
      </w:tblGrid>
      <w:tr w14:paraId="3C82E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04B8B4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w="170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72B9C6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活动前</w:t>
            </w:r>
          </w:p>
        </w:tc>
        <w:tc>
          <w:tcPr>
            <w:tcW w:w="170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33A622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活动中</w:t>
            </w:r>
          </w:p>
        </w:tc>
        <w:tc>
          <w:tcPr>
            <w:tcW w:w="236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028849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变化</w:t>
            </w:r>
          </w:p>
        </w:tc>
        <w:tc>
          <w:tcPr>
            <w:tcW w:w="180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B40AA9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结论</w:t>
            </w:r>
          </w:p>
        </w:tc>
      </w:tr>
      <w:tr w14:paraId="38EDC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</w:tcPr>
          <w:p w14:paraId="69F00B35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KOL交易额</w:t>
            </w:r>
          </w:p>
        </w:tc>
        <w:tc>
          <w:tcPr>
            <w:tcW w:w="1700" w:type="dxa"/>
          </w:tcPr>
          <w:p w14:paraId="6FF0EFBD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153,036,245.31</w:t>
            </w:r>
          </w:p>
        </w:tc>
        <w:tc>
          <w:tcPr>
            <w:tcW w:w="1700" w:type="dxa"/>
          </w:tcPr>
          <w:p w14:paraId="469453AB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209,622,432.51</w:t>
            </w:r>
          </w:p>
        </w:tc>
        <w:tc>
          <w:tcPr>
            <w:tcW w:w="2360" w:type="dxa"/>
          </w:tcPr>
          <w:p w14:paraId="007F6004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+56,586,187.20 / +36.98%</w:t>
            </w:r>
          </w:p>
        </w:tc>
        <w:tc>
          <w:tcPr>
            <w:tcW w:w="1800" w:type="dxa"/>
          </w:tcPr>
          <w:p w14:paraId="3A0F2749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增长显著</w:t>
            </w:r>
          </w:p>
        </w:tc>
      </w:tr>
      <w:tr w14:paraId="3E19C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C"/>
          </w:tcPr>
          <w:p w14:paraId="7C9D3002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Retail交易额</w:t>
            </w:r>
          </w:p>
        </w:tc>
        <w:tc>
          <w:tcPr>
            <w:tcW w:w="1700" w:type="dxa"/>
            <w:shd w:val="clear" w:color="auto" w:fill="F7F9FC"/>
          </w:tcPr>
          <w:p w14:paraId="6342DDDC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90,830,974.76</w:t>
            </w:r>
          </w:p>
        </w:tc>
        <w:tc>
          <w:tcPr>
            <w:tcW w:w="1700" w:type="dxa"/>
            <w:shd w:val="clear" w:color="auto" w:fill="F7F9FC"/>
          </w:tcPr>
          <w:p w14:paraId="696FD709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97,999,314.42</w:t>
            </w:r>
          </w:p>
        </w:tc>
        <w:tc>
          <w:tcPr>
            <w:tcW w:w="2360" w:type="dxa"/>
            <w:shd w:val="clear" w:color="auto" w:fill="F7F9FC"/>
          </w:tcPr>
          <w:p w14:paraId="4ECBD1B0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+7,168,339.66 / +7.89%</w:t>
            </w:r>
          </w:p>
        </w:tc>
        <w:tc>
          <w:tcPr>
            <w:tcW w:w="1800" w:type="dxa"/>
            <w:shd w:val="clear" w:color="auto" w:fill="F7F9FC"/>
          </w:tcPr>
          <w:p w14:paraId="674C105B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存在自然上行</w:t>
            </w:r>
          </w:p>
        </w:tc>
      </w:tr>
      <w:tr w14:paraId="79631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</w:tcPr>
          <w:p w14:paraId="11963131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KOL累计日活跃人次</w:t>
            </w:r>
          </w:p>
        </w:tc>
        <w:tc>
          <w:tcPr>
            <w:tcW w:w="1700" w:type="dxa"/>
          </w:tcPr>
          <w:p w14:paraId="2F00BA5C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15,074</w:t>
            </w:r>
          </w:p>
        </w:tc>
        <w:tc>
          <w:tcPr>
            <w:tcW w:w="1700" w:type="dxa"/>
          </w:tcPr>
          <w:p w14:paraId="72EE5F7F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18,113</w:t>
            </w:r>
          </w:p>
        </w:tc>
        <w:tc>
          <w:tcPr>
            <w:tcW w:w="2360" w:type="dxa"/>
          </w:tcPr>
          <w:p w14:paraId="43C4A797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+3,039 / +20.16%</w:t>
            </w:r>
          </w:p>
        </w:tc>
        <w:tc>
          <w:tcPr>
            <w:tcW w:w="1800" w:type="dxa"/>
          </w:tcPr>
          <w:p w14:paraId="0934CB5A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参与规模扩大</w:t>
            </w:r>
          </w:p>
        </w:tc>
      </w:tr>
      <w:tr w14:paraId="18DCA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C"/>
          </w:tcPr>
          <w:p w14:paraId="75F53F7E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KOL人均交易额</w:t>
            </w:r>
          </w:p>
        </w:tc>
        <w:tc>
          <w:tcPr>
            <w:tcW w:w="1700" w:type="dxa"/>
            <w:shd w:val="clear" w:color="auto" w:fill="F7F9FC"/>
          </w:tcPr>
          <w:p w14:paraId="63C565AD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10,152.33</w:t>
            </w:r>
          </w:p>
        </w:tc>
        <w:tc>
          <w:tcPr>
            <w:tcW w:w="1700" w:type="dxa"/>
            <w:shd w:val="clear" w:color="auto" w:fill="F7F9FC"/>
          </w:tcPr>
          <w:p w14:paraId="27686430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11,573.04</w:t>
            </w:r>
          </w:p>
        </w:tc>
        <w:tc>
          <w:tcPr>
            <w:tcW w:w="2360" w:type="dxa"/>
            <w:shd w:val="clear" w:color="auto" w:fill="F7F9FC"/>
          </w:tcPr>
          <w:p w14:paraId="5F252806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+1,420.71 / +13.99%</w:t>
            </w:r>
          </w:p>
        </w:tc>
        <w:tc>
          <w:tcPr>
            <w:tcW w:w="1800" w:type="dxa"/>
            <w:shd w:val="clear" w:color="auto" w:fill="F7F9FC"/>
          </w:tcPr>
          <w:p w14:paraId="460034F3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个体强度同步提升</w:t>
            </w:r>
          </w:p>
        </w:tc>
      </w:tr>
    </w:tbl>
    <w:p w14:paraId="26E02DBE">
      <w:pPr>
        <w:spacing w:after="20"/>
        <w:rPr>
          <w:rFonts w:hint="eastAsia" w:ascii="微软雅黑" w:hAnsi="微软雅黑" w:eastAsia="微软雅黑" w:cs="微软雅黑"/>
        </w:rPr>
      </w:pPr>
    </w:p>
    <w:p w14:paraId="1D90D22C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89EC9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EF5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1F5733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0"/>
              </w:rPr>
              <w:t>本章结论｜</w:t>
            </w:r>
            <w:r>
              <w:rPr>
                <w:rFonts w:hint="eastAsia" w:ascii="微软雅黑" w:hAnsi="微软雅黑" w:eastAsia="微软雅黑" w:cs="微软雅黑"/>
                <w:color w:val="1F2937"/>
                <w:sz w:val="20"/>
              </w:rPr>
              <w:t>活动中KOL交易额由153.04M U提升至209.62M U，增长36.98%；同期Retail</w:t>
            </w:r>
            <w:r>
              <w:rPr>
                <w:rFonts w:hint="eastAsia" w:cs="微软雅黑"/>
                <w:color w:val="1F2937"/>
                <w:sz w:val="20"/>
                <w:lang w:val="en-US" w:eastAsia="zh-CN"/>
              </w:rPr>
              <w:t>也在自然</w:t>
            </w:r>
            <w:r>
              <w:rPr>
                <w:rFonts w:hint="eastAsia" w:ascii="微软雅黑" w:hAnsi="微软雅黑" w:eastAsia="微软雅黑" w:cs="微软雅黑"/>
                <w:color w:val="1F2937"/>
                <w:sz w:val="20"/>
              </w:rPr>
              <w:t>增长7.89%。活动发生后增长显著，但仍需在剥离自然趋势后判断真实贡献。</w:t>
            </w:r>
          </w:p>
        </w:tc>
      </w:tr>
    </w:tbl>
    <w:p w14:paraId="2E83F17A">
      <w:pPr>
        <w:spacing w:after="20"/>
        <w:rPr>
          <w:rFonts w:hint="eastAsia" w:ascii="微软雅黑" w:hAnsi="微软雅黑" w:eastAsia="微软雅黑" w:cs="微软雅黑"/>
        </w:rPr>
      </w:pPr>
    </w:p>
    <w:p w14:paraId="690FA25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</w:t>
      </w: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 xml:space="preserve">  剥离自然增长与真实增量</w:t>
      </w:r>
    </w:p>
    <w:p w14:paraId="3F22960F">
      <w:pPr>
        <w:spacing w:after="120" w:line="269" w:lineRule="auto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2937"/>
        </w:rPr>
        <w:t>若KOL未参与返佣提升，假设其交易额随Retail同期趋势增长7.89%。据此，活动中的无活动理论交易额为165.11M U；实际达到209.62M U，两者差额即活动真实增量。</w:t>
      </w:r>
    </w:p>
    <w:p w14:paraId="73DB1FD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>.1 计算链路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300"/>
        <w:gridCol w:w="1900"/>
        <w:gridCol w:w="2260"/>
      </w:tblGrid>
      <w:tr w14:paraId="0A43E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468F09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w="330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0BAB6D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计算口径</w:t>
            </w:r>
          </w:p>
        </w:tc>
        <w:tc>
          <w:tcPr>
            <w:tcW w:w="190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D28BFF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数值结果</w:t>
            </w:r>
          </w:p>
        </w:tc>
        <w:tc>
          <w:tcPr>
            <w:tcW w:w="226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C2B01C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分析结论</w:t>
            </w:r>
          </w:p>
        </w:tc>
      </w:tr>
      <w:tr w14:paraId="46039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</w:tcPr>
          <w:p w14:paraId="16021F02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Retail自然增长率</w:t>
            </w:r>
          </w:p>
        </w:tc>
        <w:tc>
          <w:tcPr>
            <w:tcW w:w="3300" w:type="dxa"/>
          </w:tcPr>
          <w:p w14:paraId="0E8124C7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97,999,314.42 / 90,830,974.76－1</w:t>
            </w:r>
          </w:p>
        </w:tc>
        <w:tc>
          <w:tcPr>
            <w:tcW w:w="1900" w:type="dxa"/>
          </w:tcPr>
          <w:p w14:paraId="607D35F1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7.89%</w:t>
            </w:r>
          </w:p>
        </w:tc>
        <w:tc>
          <w:tcPr>
            <w:tcW w:w="2260" w:type="dxa"/>
          </w:tcPr>
          <w:p w14:paraId="5142F7F7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同期市场自然上行</w:t>
            </w:r>
          </w:p>
        </w:tc>
      </w:tr>
      <w:tr w14:paraId="5092D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7F9FC"/>
          </w:tcPr>
          <w:p w14:paraId="0B511555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无活动KOL理论交易额</w:t>
            </w:r>
          </w:p>
        </w:tc>
        <w:tc>
          <w:tcPr>
            <w:tcW w:w="3300" w:type="dxa"/>
            <w:shd w:val="clear" w:color="auto" w:fill="F7F9FC"/>
          </w:tcPr>
          <w:p w14:paraId="16C69A7A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153,036,245.31 ×（1＋7.89%）</w:t>
            </w:r>
          </w:p>
        </w:tc>
        <w:tc>
          <w:tcPr>
            <w:tcW w:w="1900" w:type="dxa"/>
            <w:shd w:val="clear" w:color="auto" w:fill="F7F9FC"/>
          </w:tcPr>
          <w:p w14:paraId="39CB60E7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165,110,805.06 U</w:t>
            </w:r>
          </w:p>
        </w:tc>
        <w:tc>
          <w:tcPr>
            <w:tcW w:w="2260" w:type="dxa"/>
            <w:shd w:val="clear" w:color="auto" w:fill="F7F9FC"/>
          </w:tcPr>
          <w:p w14:paraId="01B7F3CC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反事实基线</w:t>
            </w:r>
          </w:p>
        </w:tc>
      </w:tr>
      <w:tr w14:paraId="37806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</w:tcPr>
          <w:p w14:paraId="4BC5E980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KOL表面总增长</w:t>
            </w:r>
          </w:p>
        </w:tc>
        <w:tc>
          <w:tcPr>
            <w:tcW w:w="3300" w:type="dxa"/>
          </w:tcPr>
          <w:p w14:paraId="3F753CC7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209,622,432.51－153,036,245.31</w:t>
            </w:r>
          </w:p>
        </w:tc>
        <w:tc>
          <w:tcPr>
            <w:tcW w:w="1900" w:type="dxa"/>
          </w:tcPr>
          <w:p w14:paraId="4CC8B1F7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56,586,187.20 U</w:t>
            </w:r>
          </w:p>
        </w:tc>
        <w:tc>
          <w:tcPr>
            <w:tcW w:w="2260" w:type="dxa"/>
          </w:tcPr>
          <w:p w14:paraId="043E66B6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实际观察到的全部增长</w:t>
            </w:r>
          </w:p>
        </w:tc>
      </w:tr>
      <w:tr w14:paraId="6486A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7F9FC"/>
          </w:tcPr>
          <w:p w14:paraId="03B211CC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活动真实增量</w:t>
            </w:r>
          </w:p>
        </w:tc>
        <w:tc>
          <w:tcPr>
            <w:tcW w:w="3300" w:type="dxa"/>
            <w:shd w:val="clear" w:color="auto" w:fill="F7F9FC"/>
          </w:tcPr>
          <w:p w14:paraId="6BFE8AFC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209,622,432.51－165,110,805.06</w:t>
            </w:r>
          </w:p>
        </w:tc>
        <w:tc>
          <w:tcPr>
            <w:tcW w:w="1900" w:type="dxa"/>
            <w:shd w:val="clear" w:color="auto" w:fill="F7F9FC"/>
          </w:tcPr>
          <w:p w14:paraId="06899EF3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44,511,627.45 U</w:t>
            </w:r>
          </w:p>
        </w:tc>
        <w:tc>
          <w:tcPr>
            <w:tcW w:w="2260" w:type="dxa"/>
            <w:shd w:val="clear" w:color="auto" w:fill="F7F9FC"/>
          </w:tcPr>
          <w:p w14:paraId="4F83B8B5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超越自然趋势的新增交易</w:t>
            </w:r>
          </w:p>
        </w:tc>
      </w:tr>
      <w:tr w14:paraId="54F85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</w:tcPr>
          <w:p w14:paraId="6A588C39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活动贡献占比</w:t>
            </w:r>
          </w:p>
        </w:tc>
        <w:tc>
          <w:tcPr>
            <w:tcW w:w="3300" w:type="dxa"/>
          </w:tcPr>
          <w:p w14:paraId="34E3AC70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44,511,627.45 / 56,586,187.20</w:t>
            </w:r>
          </w:p>
        </w:tc>
        <w:tc>
          <w:tcPr>
            <w:tcW w:w="1900" w:type="dxa"/>
          </w:tcPr>
          <w:p w14:paraId="5CC3A354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78.66%</w:t>
            </w:r>
          </w:p>
        </w:tc>
        <w:tc>
          <w:tcPr>
            <w:tcW w:w="2260" w:type="dxa"/>
          </w:tcPr>
          <w:p w14:paraId="465AB5E5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大部分增长可归入活动增量</w:t>
            </w:r>
          </w:p>
        </w:tc>
      </w:tr>
    </w:tbl>
    <w:p w14:paraId="0EC92CED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3"/>
        <w:tblW w:w="934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0"/>
        <w:gridCol w:w="4670"/>
      </w:tblGrid>
      <w:tr w14:paraId="11300F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7" w:hRule="atLeast"/>
        </w:trPr>
        <w:tc>
          <w:tcPr>
            <w:tcW w:w="4670" w:type="dxa"/>
            <w:shd w:val="clear" w:color="auto" w:fill="F2F4F7"/>
            <w:tcMar>
              <w:top w:w="135" w:type="dxa"/>
              <w:left w:w="110" w:type="dxa"/>
              <w:bottom w:w="135" w:type="dxa"/>
              <w:right w:w="110" w:type="dxa"/>
            </w:tcMar>
            <w:vAlign w:val="center"/>
          </w:tcPr>
          <w:p w14:paraId="058159C0">
            <w:pPr>
              <w:spacing w:after="4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667085"/>
                <w:sz w:val="16"/>
              </w:rPr>
              <w:t>自然增长贡献</w:t>
            </w:r>
          </w:p>
          <w:p w14:paraId="6AA45C22">
            <w:pPr>
              <w:spacing w:after="2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667085"/>
                <w:sz w:val="32"/>
              </w:rPr>
              <w:t>12.07M U</w:t>
            </w:r>
          </w:p>
          <w:p w14:paraId="0372F36F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67085"/>
                <w:sz w:val="15"/>
              </w:rPr>
              <w:t>表面增长的21.34%</w:t>
            </w:r>
          </w:p>
        </w:tc>
        <w:tc>
          <w:tcPr>
            <w:tcW w:w="4670" w:type="dxa"/>
            <w:shd w:val="clear" w:color="auto" w:fill="EEF5FB"/>
            <w:tcMar>
              <w:top w:w="135" w:type="dxa"/>
              <w:left w:w="110" w:type="dxa"/>
              <w:bottom w:w="135" w:type="dxa"/>
              <w:right w:w="110" w:type="dxa"/>
            </w:tcMar>
            <w:vAlign w:val="center"/>
          </w:tcPr>
          <w:p w14:paraId="0668BC25">
            <w:pPr>
              <w:spacing w:after="4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667085"/>
                <w:sz w:val="16"/>
              </w:rPr>
              <w:t>活动真实贡献</w:t>
            </w:r>
          </w:p>
          <w:p w14:paraId="7189C6A5">
            <w:pPr>
              <w:spacing w:after="2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75B6"/>
                <w:sz w:val="32"/>
              </w:rPr>
              <w:t>44.51M U</w:t>
            </w:r>
          </w:p>
          <w:p w14:paraId="57550CE5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67085"/>
                <w:sz w:val="15"/>
              </w:rPr>
              <w:t>表面增长的78.66%</w:t>
            </w:r>
          </w:p>
        </w:tc>
      </w:tr>
    </w:tbl>
    <w:p w14:paraId="583F4CFF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A722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2F0D9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6DBEF8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235"/>
                <w:sz w:val="20"/>
              </w:rPr>
              <w:t>分析发现｜</w:t>
            </w:r>
            <w:r>
              <w:rPr>
                <w:rFonts w:hint="eastAsia" w:ascii="微软雅黑" w:hAnsi="微软雅黑" w:eastAsia="微软雅黑" w:cs="微软雅黑"/>
                <w:color w:val="1F2937"/>
                <w:sz w:val="20"/>
              </w:rPr>
              <w:t>剥离同期自然增长后，活动仍贡献44.51M U真实增量，约占KOL全部增长的78.66%；因此活动是本期增长的主要驱动。</w:t>
            </w:r>
          </w:p>
        </w:tc>
      </w:tr>
    </w:tbl>
    <w:p w14:paraId="6CDBD06E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AF148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4CE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134C9B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cs="微软雅黑"/>
                <w:b/>
                <w:color w:val="C18C24"/>
                <w:sz w:val="20"/>
                <w:lang w:val="en-US" w:eastAsia="zh-CN"/>
              </w:rPr>
              <w:t>本章结论</w:t>
            </w:r>
            <w:r>
              <w:rPr>
                <w:rFonts w:hint="eastAsia" w:ascii="微软雅黑" w:hAnsi="微软雅黑" w:eastAsia="微软雅黑" w:cs="微软雅黑"/>
                <w:b/>
                <w:color w:val="C18C24"/>
                <w:sz w:val="20"/>
              </w:rPr>
              <w:t>｜</w:t>
            </w:r>
            <w:r>
              <w:rPr>
                <w:rFonts w:hint="eastAsia" w:ascii="微软雅黑" w:hAnsi="微软雅黑" w:eastAsia="微软雅黑" w:cs="微软雅黑"/>
                <w:color w:val="1F2937"/>
                <w:sz w:val="20"/>
              </w:rPr>
              <w:t>增长规模层面，返佣提升确实有效；但是否值得继续投入，还取决于新增交易的手续费能否覆盖额外返佣成本。</w:t>
            </w:r>
          </w:p>
        </w:tc>
      </w:tr>
    </w:tbl>
    <w:p w14:paraId="1B1ADC41">
      <w:pPr>
        <w:spacing w:after="20"/>
        <w:rPr>
          <w:rFonts w:hint="eastAsia" w:ascii="微软雅黑" w:hAnsi="微软雅黑" w:eastAsia="微软雅黑" w:cs="微软雅黑"/>
        </w:rPr>
      </w:pPr>
    </w:p>
    <w:p w14:paraId="15B009A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</w:t>
      </w:r>
      <w:r>
        <w:rPr>
          <w:rFonts w:hint="eastAsia" w:ascii="微软雅黑" w:hAnsi="微软雅黑" w:eastAsia="微软雅黑" w:cs="微软雅黑"/>
          <w:lang w:val="en-US" w:eastAsia="zh-CN"/>
        </w:rPr>
        <w:t>4</w:t>
      </w:r>
      <w:r>
        <w:rPr>
          <w:rFonts w:hint="eastAsia" w:ascii="微软雅黑" w:hAnsi="微软雅黑" w:eastAsia="微软雅黑" w:cs="微软雅黑"/>
        </w:rPr>
        <w:t xml:space="preserve">  增量ROI评估</w:t>
      </w:r>
    </w:p>
    <w:p w14:paraId="6AD6F16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4</w:t>
      </w:r>
      <w:r>
        <w:rPr>
          <w:rFonts w:hint="eastAsia" w:ascii="微软雅黑" w:hAnsi="微软雅黑" w:eastAsia="微软雅黑" w:cs="微软雅黑"/>
        </w:rPr>
        <w:t>.1 收益—成本拆解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400"/>
        <w:gridCol w:w="2050"/>
        <w:gridCol w:w="2010"/>
      </w:tblGrid>
      <w:tr w14:paraId="6D4DD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813AA4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w="340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673861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计算口径</w:t>
            </w:r>
          </w:p>
        </w:tc>
        <w:tc>
          <w:tcPr>
            <w:tcW w:w="205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6C4848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数值结果</w:t>
            </w:r>
          </w:p>
        </w:tc>
        <w:tc>
          <w:tcPr>
            <w:tcW w:w="201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69C997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解释</w:t>
            </w:r>
          </w:p>
        </w:tc>
      </w:tr>
      <w:tr w14:paraId="725F8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</w:tcPr>
          <w:p w14:paraId="1CB128FE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KOL毛手续费率</w:t>
            </w:r>
          </w:p>
        </w:tc>
        <w:tc>
          <w:tcPr>
            <w:tcW w:w="3400" w:type="dxa"/>
          </w:tcPr>
          <w:p w14:paraId="300365FA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活动前毛手续费 / 活动前交易额</w:t>
            </w:r>
          </w:p>
        </w:tc>
        <w:tc>
          <w:tcPr>
            <w:tcW w:w="2050" w:type="dxa"/>
          </w:tcPr>
          <w:p w14:paraId="7B8C081A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0.00019818（0.019818%）</w:t>
            </w:r>
          </w:p>
        </w:tc>
        <w:tc>
          <w:tcPr>
            <w:tcW w:w="2010" w:type="dxa"/>
          </w:tcPr>
          <w:p w14:paraId="71AC63A7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新增交易的变现率</w:t>
            </w:r>
          </w:p>
        </w:tc>
      </w:tr>
      <w:tr w14:paraId="5DC44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7F9FC"/>
          </w:tcPr>
          <w:p w14:paraId="011D894A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增量毛手续费</w:t>
            </w:r>
          </w:p>
        </w:tc>
        <w:tc>
          <w:tcPr>
            <w:tcW w:w="3400" w:type="dxa"/>
            <w:shd w:val="clear" w:color="auto" w:fill="F7F9FC"/>
          </w:tcPr>
          <w:p w14:paraId="584F3FC0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44,511,627.45 × 0.00019818</w:t>
            </w:r>
          </w:p>
        </w:tc>
        <w:tc>
          <w:tcPr>
            <w:tcW w:w="2050" w:type="dxa"/>
            <w:shd w:val="clear" w:color="auto" w:fill="F7F9FC"/>
          </w:tcPr>
          <w:p w14:paraId="2D6F9C31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8,821.31 U</w:t>
            </w:r>
          </w:p>
        </w:tc>
        <w:tc>
          <w:tcPr>
            <w:tcW w:w="2010" w:type="dxa"/>
            <w:shd w:val="clear" w:color="auto" w:fill="F7F9FC"/>
          </w:tcPr>
          <w:p w14:paraId="43114AAE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活动带来的增量收入</w:t>
            </w:r>
          </w:p>
        </w:tc>
      </w:tr>
      <w:tr w14:paraId="05BF8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</w:tcPr>
          <w:p w14:paraId="53CFB3AC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无活动理论返佣</w:t>
            </w:r>
          </w:p>
        </w:tc>
        <w:tc>
          <w:tcPr>
            <w:tcW w:w="3400" w:type="dxa"/>
          </w:tcPr>
          <w:p w14:paraId="44C71DBB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无活动理论交易额 × 毛手续费率 × 15%</w:t>
            </w:r>
          </w:p>
        </w:tc>
        <w:tc>
          <w:tcPr>
            <w:tcW w:w="2050" w:type="dxa"/>
          </w:tcPr>
          <w:p w14:paraId="3D53896C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4,908.25 U</w:t>
            </w:r>
          </w:p>
        </w:tc>
        <w:tc>
          <w:tcPr>
            <w:tcW w:w="2010" w:type="dxa"/>
          </w:tcPr>
          <w:p w14:paraId="259C4068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维持原返佣率的理论成本</w:t>
            </w:r>
          </w:p>
        </w:tc>
      </w:tr>
      <w:tr w14:paraId="77F89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7F9FC"/>
          </w:tcPr>
          <w:p w14:paraId="217EBAE3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增量返佣成本</w:t>
            </w:r>
          </w:p>
        </w:tc>
        <w:tc>
          <w:tcPr>
            <w:tcW w:w="3400" w:type="dxa"/>
            <w:shd w:val="clear" w:color="auto" w:fill="F7F9FC"/>
          </w:tcPr>
          <w:p w14:paraId="749FD72A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活动中返佣－无活动理论返佣</w:t>
            </w:r>
          </w:p>
        </w:tc>
        <w:tc>
          <w:tcPr>
            <w:tcW w:w="2050" w:type="dxa"/>
            <w:shd w:val="clear" w:color="auto" w:fill="F7F9FC"/>
          </w:tcPr>
          <w:p w14:paraId="5C401AA6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7,556.40 U</w:t>
            </w:r>
          </w:p>
        </w:tc>
        <w:tc>
          <w:tcPr>
            <w:tcW w:w="2010" w:type="dxa"/>
            <w:shd w:val="clear" w:color="auto" w:fill="F7F9FC"/>
          </w:tcPr>
          <w:p w14:paraId="77B91D2B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返佣提升带来的额外成本</w:t>
            </w:r>
          </w:p>
        </w:tc>
      </w:tr>
      <w:tr w14:paraId="6CB76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</w:tcPr>
          <w:p w14:paraId="2A423ECD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增量净收益</w:t>
            </w:r>
          </w:p>
        </w:tc>
        <w:tc>
          <w:tcPr>
            <w:tcW w:w="3400" w:type="dxa"/>
          </w:tcPr>
          <w:p w14:paraId="2F18E5E2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增量毛手续费－增量返佣成本</w:t>
            </w:r>
          </w:p>
        </w:tc>
        <w:tc>
          <w:tcPr>
            <w:tcW w:w="2050" w:type="dxa"/>
          </w:tcPr>
          <w:p w14:paraId="58BBF352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1,264.91 U</w:t>
            </w:r>
          </w:p>
        </w:tc>
        <w:tc>
          <w:tcPr>
            <w:tcW w:w="2010" w:type="dxa"/>
          </w:tcPr>
          <w:p w14:paraId="2C4A7045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活动的净增量价值</w:t>
            </w:r>
          </w:p>
        </w:tc>
      </w:tr>
      <w:tr w14:paraId="779C1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</w:tcPr>
          <w:p w14:paraId="02102B3F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增量ROI</w:t>
            </w:r>
          </w:p>
        </w:tc>
        <w:tc>
          <w:tcPr>
            <w:tcW w:w="3400" w:type="dxa"/>
          </w:tcPr>
          <w:p w14:paraId="5FEFA056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增量净收益 / 增量返佣成本</w:t>
            </w:r>
          </w:p>
        </w:tc>
        <w:tc>
          <w:tcPr>
            <w:tcW w:w="2050" w:type="dxa"/>
          </w:tcPr>
          <w:p w14:paraId="2A5E772F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16.74%</w:t>
            </w:r>
          </w:p>
        </w:tc>
        <w:tc>
          <w:tcPr>
            <w:tcW w:w="2010" w:type="dxa"/>
          </w:tcPr>
          <w:p w14:paraId="4D7CE5B1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每1 U成本形成约0.17 U净收益</w:t>
            </w:r>
          </w:p>
        </w:tc>
      </w:tr>
    </w:tbl>
    <w:p w14:paraId="16149670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5BF5B6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EEF5FB"/>
            <w:tcMar>
              <w:top w:w="135" w:type="dxa"/>
              <w:left w:w="110" w:type="dxa"/>
              <w:bottom w:w="135" w:type="dxa"/>
              <w:right w:w="110" w:type="dxa"/>
            </w:tcMar>
            <w:vAlign w:val="center"/>
          </w:tcPr>
          <w:p w14:paraId="72AD93C7">
            <w:pPr>
              <w:spacing w:after="4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667085"/>
                <w:sz w:val="16"/>
              </w:rPr>
              <w:t>增量毛手续费</w:t>
            </w:r>
          </w:p>
          <w:p w14:paraId="58F3415C">
            <w:pPr>
              <w:spacing w:after="2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75B6"/>
                <w:sz w:val="32"/>
              </w:rPr>
              <w:t>8,821.31 U</w:t>
            </w:r>
          </w:p>
          <w:p w14:paraId="17168002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67085"/>
                <w:sz w:val="15"/>
              </w:rPr>
              <w:t>活动增量收入</w:t>
            </w:r>
          </w:p>
        </w:tc>
        <w:tc>
          <w:tcPr>
            <w:tcW w:w="2340" w:type="dxa"/>
            <w:shd w:val="clear" w:color="auto" w:fill="FDECEC"/>
            <w:tcMar>
              <w:top w:w="135" w:type="dxa"/>
              <w:left w:w="110" w:type="dxa"/>
              <w:bottom w:w="135" w:type="dxa"/>
              <w:right w:w="110" w:type="dxa"/>
            </w:tcMar>
            <w:vAlign w:val="center"/>
          </w:tcPr>
          <w:p w14:paraId="76D7B861">
            <w:pPr>
              <w:spacing w:after="4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667085"/>
                <w:sz w:val="16"/>
              </w:rPr>
              <w:t>增量返佣成本</w:t>
            </w:r>
          </w:p>
          <w:p w14:paraId="5A353432">
            <w:pPr>
              <w:spacing w:after="2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00000"/>
                <w:sz w:val="32"/>
              </w:rPr>
              <w:t>7,556.40 U</w:t>
            </w:r>
          </w:p>
          <w:p w14:paraId="79BC2CDF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67085"/>
                <w:sz w:val="15"/>
              </w:rPr>
              <w:t>新增活动投入</w:t>
            </w:r>
          </w:p>
        </w:tc>
        <w:tc>
          <w:tcPr>
            <w:tcW w:w="2340" w:type="dxa"/>
            <w:shd w:val="clear" w:color="auto" w:fill="E2F0D9"/>
            <w:tcMar>
              <w:top w:w="135" w:type="dxa"/>
              <w:left w:w="110" w:type="dxa"/>
              <w:bottom w:w="135" w:type="dxa"/>
              <w:right w:w="110" w:type="dxa"/>
            </w:tcMar>
            <w:vAlign w:val="center"/>
          </w:tcPr>
          <w:p w14:paraId="3DB5A764">
            <w:pPr>
              <w:spacing w:after="4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667085"/>
                <w:sz w:val="16"/>
              </w:rPr>
              <w:t>增量净收益</w:t>
            </w:r>
          </w:p>
          <w:p w14:paraId="4748078E">
            <w:pPr>
              <w:spacing w:after="2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235"/>
                <w:sz w:val="32"/>
              </w:rPr>
              <w:t>+1,264.91 U</w:t>
            </w:r>
          </w:p>
          <w:p w14:paraId="2532F8F7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67085"/>
                <w:sz w:val="15"/>
              </w:rPr>
              <w:t>正向但不厚</w:t>
            </w:r>
          </w:p>
        </w:tc>
        <w:tc>
          <w:tcPr>
            <w:tcW w:w="2340" w:type="dxa"/>
            <w:shd w:val="clear" w:color="auto" w:fill="FFF4CE"/>
            <w:tcMar>
              <w:top w:w="135" w:type="dxa"/>
              <w:left w:w="110" w:type="dxa"/>
              <w:bottom w:w="135" w:type="dxa"/>
              <w:right w:w="110" w:type="dxa"/>
            </w:tcMar>
            <w:vAlign w:val="center"/>
          </w:tcPr>
          <w:p w14:paraId="7F39A9DB">
            <w:pPr>
              <w:spacing w:after="4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667085"/>
                <w:sz w:val="16"/>
              </w:rPr>
              <w:t>增量ROI</w:t>
            </w:r>
          </w:p>
          <w:p w14:paraId="227A5BAD">
            <w:pPr>
              <w:spacing w:after="2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18C24"/>
                <w:sz w:val="32"/>
              </w:rPr>
              <w:t>+16.74%</w:t>
            </w:r>
          </w:p>
          <w:p w14:paraId="215D3ABC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67085"/>
                <w:sz w:val="15"/>
              </w:rPr>
              <w:t>成本回报率</w:t>
            </w:r>
          </w:p>
        </w:tc>
      </w:tr>
    </w:tbl>
    <w:p w14:paraId="1FC3481E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534E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2F0D9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1F10057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235"/>
                <w:sz w:val="20"/>
              </w:rPr>
              <w:t>分析发现｜</w:t>
            </w:r>
            <w:r>
              <w:rPr>
                <w:rFonts w:hint="eastAsia" w:ascii="微软雅黑" w:hAnsi="微软雅黑" w:eastAsia="微软雅黑" w:cs="微软雅黑"/>
                <w:color w:val="1F2937"/>
                <w:sz w:val="20"/>
              </w:rPr>
              <w:t>增量毛手续费覆盖了额外返佣成本，净增量收益为正。增量ROI约16.74%。</w:t>
            </w:r>
          </w:p>
        </w:tc>
      </w:tr>
    </w:tbl>
    <w:p w14:paraId="7C3B97CE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C583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4CE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BFFFD5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C18C24"/>
                <w:sz w:val="20"/>
              </w:rPr>
              <w:t>本章结论｜</w:t>
            </w:r>
            <w:r>
              <w:rPr>
                <w:rFonts w:hint="eastAsia" w:ascii="微软雅黑" w:hAnsi="微软雅黑" w:eastAsia="微软雅黑" w:cs="微软雅黑"/>
                <w:color w:val="1F2937"/>
                <w:sz w:val="20"/>
              </w:rPr>
              <w:t>活动真实增量带来8,821.31 U增量毛手续费，新增返佣成本为7,556.40 U，形成约1,264.91 U增量净收益；增量ROI约16.74%，经济收益为正。</w:t>
            </w:r>
          </w:p>
        </w:tc>
      </w:tr>
    </w:tbl>
    <w:p w14:paraId="0D60C480">
      <w:pPr>
        <w:spacing w:after="20"/>
        <w:rPr>
          <w:rFonts w:hint="eastAsia" w:ascii="微软雅黑" w:hAnsi="微软雅黑" w:eastAsia="微软雅黑" w:cs="微软雅黑"/>
        </w:rPr>
      </w:pPr>
    </w:p>
    <w:p w14:paraId="1549D92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</w:t>
      </w:r>
      <w:r>
        <w:rPr>
          <w:rFonts w:hint="eastAsia" w:ascii="微软雅黑" w:hAnsi="微软雅黑" w:eastAsia="微软雅黑" w:cs="微软雅黑"/>
          <w:lang w:val="en-US" w:eastAsia="zh-CN"/>
        </w:rPr>
        <w:t>5</w:t>
      </w:r>
      <w:r>
        <w:rPr>
          <w:rFonts w:hint="eastAsia" w:ascii="微软雅黑" w:hAnsi="微软雅黑" w:eastAsia="微软雅黑" w:cs="微软雅黑"/>
        </w:rPr>
        <w:t xml:space="preserve">  活动后留存效果分析</w:t>
      </w:r>
      <w:bookmarkStart w:id="0" w:name="_GoBack"/>
      <w:bookmarkEnd w:id="0"/>
    </w:p>
    <w:p w14:paraId="0147E98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5</w:t>
      </w:r>
      <w:r>
        <w:rPr>
          <w:rFonts w:hint="eastAsia" w:ascii="微软雅黑" w:hAnsi="微软雅黑" w:eastAsia="微软雅黑" w:cs="微软雅黑"/>
        </w:rPr>
        <w:t>.1 规模、参与与人均拆解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500"/>
        <w:gridCol w:w="1500"/>
        <w:gridCol w:w="1500"/>
        <w:gridCol w:w="1480"/>
        <w:gridCol w:w="1480"/>
      </w:tblGrid>
      <w:tr w14:paraId="2B889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8A31F9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w="150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615C26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活动前</w:t>
            </w:r>
          </w:p>
        </w:tc>
        <w:tc>
          <w:tcPr>
            <w:tcW w:w="150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C1984D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活动中</w:t>
            </w:r>
          </w:p>
        </w:tc>
        <w:tc>
          <w:tcPr>
            <w:tcW w:w="150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136861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活动后</w:t>
            </w:r>
          </w:p>
        </w:tc>
        <w:tc>
          <w:tcPr>
            <w:tcW w:w="148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91BFEE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活动中增幅</w:t>
            </w:r>
          </w:p>
        </w:tc>
        <w:tc>
          <w:tcPr>
            <w:tcW w:w="148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C486F5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活动后增幅</w:t>
            </w:r>
          </w:p>
        </w:tc>
      </w:tr>
      <w:tr w14:paraId="50E7E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</w:tcPr>
          <w:p w14:paraId="4AC019F4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KOL交易额（U）</w:t>
            </w:r>
          </w:p>
        </w:tc>
        <w:tc>
          <w:tcPr>
            <w:tcW w:w="1500" w:type="dxa"/>
          </w:tcPr>
          <w:p w14:paraId="05F85CA2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153,036,245.31</w:t>
            </w:r>
          </w:p>
        </w:tc>
        <w:tc>
          <w:tcPr>
            <w:tcW w:w="1500" w:type="dxa"/>
          </w:tcPr>
          <w:p w14:paraId="54BF303B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209,622,432.51</w:t>
            </w:r>
          </w:p>
        </w:tc>
        <w:tc>
          <w:tcPr>
            <w:tcW w:w="1500" w:type="dxa"/>
          </w:tcPr>
          <w:p w14:paraId="5DB2F1F7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178,245,437.69</w:t>
            </w:r>
          </w:p>
        </w:tc>
        <w:tc>
          <w:tcPr>
            <w:tcW w:w="1480" w:type="dxa"/>
          </w:tcPr>
          <w:p w14:paraId="6966B813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+36.98%</w:t>
            </w:r>
          </w:p>
        </w:tc>
        <w:tc>
          <w:tcPr>
            <w:tcW w:w="1480" w:type="dxa"/>
          </w:tcPr>
          <w:p w14:paraId="292676FF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+16.47%</w:t>
            </w:r>
          </w:p>
        </w:tc>
      </w:tr>
      <w:tr w14:paraId="4DBE2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7F9FC"/>
          </w:tcPr>
          <w:p w14:paraId="2A2C634F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累计日活跃KOL人次</w:t>
            </w:r>
          </w:p>
        </w:tc>
        <w:tc>
          <w:tcPr>
            <w:tcW w:w="1500" w:type="dxa"/>
            <w:shd w:val="clear" w:color="auto" w:fill="F7F9FC"/>
          </w:tcPr>
          <w:p w14:paraId="5D91588A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15,074</w:t>
            </w:r>
          </w:p>
        </w:tc>
        <w:tc>
          <w:tcPr>
            <w:tcW w:w="1500" w:type="dxa"/>
            <w:shd w:val="clear" w:color="auto" w:fill="F7F9FC"/>
          </w:tcPr>
          <w:p w14:paraId="44EDF79B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18,113</w:t>
            </w:r>
          </w:p>
        </w:tc>
        <w:tc>
          <w:tcPr>
            <w:tcW w:w="1500" w:type="dxa"/>
            <w:shd w:val="clear" w:color="auto" w:fill="F7F9FC"/>
          </w:tcPr>
          <w:p w14:paraId="6B6ACF3C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17,440</w:t>
            </w:r>
          </w:p>
        </w:tc>
        <w:tc>
          <w:tcPr>
            <w:tcW w:w="1480" w:type="dxa"/>
            <w:shd w:val="clear" w:color="auto" w:fill="F7F9FC"/>
          </w:tcPr>
          <w:p w14:paraId="62046282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+20.16%</w:t>
            </w:r>
          </w:p>
        </w:tc>
        <w:tc>
          <w:tcPr>
            <w:tcW w:w="1480" w:type="dxa"/>
            <w:shd w:val="clear" w:color="auto" w:fill="F7F9FC"/>
          </w:tcPr>
          <w:p w14:paraId="74EC12E1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+15.70%</w:t>
            </w:r>
          </w:p>
        </w:tc>
      </w:tr>
      <w:tr w14:paraId="1C68C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</w:tcPr>
          <w:p w14:paraId="51F05888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人均交易额（U/人次）</w:t>
            </w:r>
          </w:p>
        </w:tc>
        <w:tc>
          <w:tcPr>
            <w:tcW w:w="1500" w:type="dxa"/>
          </w:tcPr>
          <w:p w14:paraId="09010B2A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10,152.33</w:t>
            </w:r>
          </w:p>
        </w:tc>
        <w:tc>
          <w:tcPr>
            <w:tcW w:w="1500" w:type="dxa"/>
          </w:tcPr>
          <w:p w14:paraId="0A8185A8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11,573.04</w:t>
            </w:r>
          </w:p>
        </w:tc>
        <w:tc>
          <w:tcPr>
            <w:tcW w:w="1500" w:type="dxa"/>
          </w:tcPr>
          <w:p w14:paraId="0525A9C9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10,220.50</w:t>
            </w:r>
          </w:p>
        </w:tc>
        <w:tc>
          <w:tcPr>
            <w:tcW w:w="1480" w:type="dxa"/>
          </w:tcPr>
          <w:p w14:paraId="08DFB1F9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+13.99%</w:t>
            </w:r>
          </w:p>
        </w:tc>
        <w:tc>
          <w:tcPr>
            <w:tcW w:w="1480" w:type="dxa"/>
          </w:tcPr>
          <w:p w14:paraId="117FF8E2">
            <w:pPr>
              <w:spacing w:before="0" w:after="0" w:line="252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6"/>
              </w:rPr>
              <w:t>+0.67%</w:t>
            </w:r>
          </w:p>
        </w:tc>
      </w:tr>
    </w:tbl>
    <w:p w14:paraId="222E191A">
      <w:pPr>
        <w:spacing w:after="20"/>
        <w:rPr>
          <w:rFonts w:hint="eastAsia" w:ascii="微软雅黑" w:hAnsi="微软雅黑" w:eastAsia="微软雅黑" w:cs="微软雅黑"/>
        </w:rPr>
      </w:pPr>
    </w:p>
    <w:p w14:paraId="4D4C7E1C">
      <w:pPr>
        <w:spacing w:after="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760720" cy="2342515"/>
            <wp:effectExtent l="0" t="0" r="11430" b="635"/>
            <wp:docPr id="2" name="Picture 5" descr="相较活动前的增长率分组柱状图：活动中交易额36.98%、累计日活跃KOL人次20.16%、人均交易额13.99%；活动后分别16.47%、15.70%、0.67%。" title="相较活动前的增长率分组柱状图：活动中交易额36.98%、累计日活跃KOL人次20.16%、人均交易额13.99%；活动后分别16.47%、15.70%、0.67%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 descr="相较活动前的增长率分组柱状图：活动中交易额36.98%、累计日活跃KOL人次20.16%、人均交易额13.99%；活动后分别16.47%、15.70%、0.67%。" title="相较活动前的增长率分组柱状图：活动中交易额36.98%、累计日活跃KOL人次20.16%、人均交易额13.99%；活动后分别16.47%、15.70%、0.67%。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067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5</w:t>
      </w:r>
      <w:r>
        <w:rPr>
          <w:rFonts w:hint="eastAsia" w:ascii="微软雅黑" w:hAnsi="微软雅黑" w:eastAsia="微软雅黑" w:cs="微软雅黑"/>
        </w:rPr>
        <w:t>.2 留存机制判断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3400"/>
        <w:gridCol w:w="3460"/>
      </w:tblGrid>
      <w:tr w14:paraId="5384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42AB1C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观察</w:t>
            </w:r>
          </w:p>
        </w:tc>
        <w:tc>
          <w:tcPr>
            <w:tcW w:w="340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BA2167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证据</w:t>
            </w:r>
          </w:p>
        </w:tc>
        <w:tc>
          <w:tcPr>
            <w:tcW w:w="346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A443B2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判断</w:t>
            </w:r>
          </w:p>
        </w:tc>
      </w:tr>
      <w:tr w14:paraId="33EDE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</w:tcPr>
          <w:p w14:paraId="1C5124E2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7"/>
              </w:rPr>
              <w:t>交易规模仍高于基准</w:t>
            </w:r>
          </w:p>
        </w:tc>
        <w:tc>
          <w:tcPr>
            <w:tcW w:w="3400" w:type="dxa"/>
          </w:tcPr>
          <w:p w14:paraId="7F6F77D1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7"/>
              </w:rPr>
              <w:t>活动后交易额较活动前 +16.47%</w:t>
            </w:r>
          </w:p>
        </w:tc>
        <w:tc>
          <w:tcPr>
            <w:tcW w:w="3460" w:type="dxa"/>
          </w:tcPr>
          <w:p w14:paraId="54916897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7"/>
              </w:rPr>
              <w:t>活动带来一定后续价值</w:t>
            </w:r>
          </w:p>
        </w:tc>
      </w:tr>
      <w:tr w14:paraId="53993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shd w:val="clear" w:color="auto" w:fill="F7F9FC"/>
          </w:tcPr>
          <w:p w14:paraId="1FFC21ED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7"/>
              </w:rPr>
              <w:t>参与规模保留较强</w:t>
            </w:r>
          </w:p>
        </w:tc>
        <w:tc>
          <w:tcPr>
            <w:tcW w:w="3400" w:type="dxa"/>
            <w:shd w:val="clear" w:color="auto" w:fill="F7F9FC"/>
          </w:tcPr>
          <w:p w14:paraId="4390C3BE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7"/>
              </w:rPr>
              <w:t>活动后累计日活跃KOL人次 +15.70%</w:t>
            </w:r>
          </w:p>
        </w:tc>
        <w:tc>
          <w:tcPr>
            <w:tcW w:w="3460" w:type="dxa"/>
            <w:shd w:val="clear" w:color="auto" w:fill="F7F9FC"/>
          </w:tcPr>
          <w:p w14:paraId="1B6E6E23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7"/>
              </w:rPr>
              <w:t>更多KOL仍在持续参与</w:t>
            </w:r>
          </w:p>
        </w:tc>
      </w:tr>
      <w:tr w14:paraId="3223D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</w:tcPr>
          <w:p w14:paraId="3C826C6C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7"/>
              </w:rPr>
              <w:t>个体强度基本回落</w:t>
            </w:r>
          </w:p>
        </w:tc>
        <w:tc>
          <w:tcPr>
            <w:tcW w:w="3400" w:type="dxa"/>
          </w:tcPr>
          <w:p w14:paraId="6B708C6E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7"/>
              </w:rPr>
              <w:t>活动后人均交易额仅 +0.67%</w:t>
            </w:r>
          </w:p>
        </w:tc>
        <w:tc>
          <w:tcPr>
            <w:tcW w:w="3460" w:type="dxa"/>
          </w:tcPr>
          <w:p w14:paraId="23A470C8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7"/>
              </w:rPr>
              <w:t>单个KOL交易习惯未明显永久改变</w:t>
            </w:r>
          </w:p>
        </w:tc>
      </w:tr>
    </w:tbl>
    <w:p w14:paraId="1BDF8E0D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48468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2F0D9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1539954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235"/>
                <w:sz w:val="20"/>
              </w:rPr>
              <w:t>分析发现｜</w:t>
            </w:r>
            <w:r>
              <w:rPr>
                <w:rFonts w:hint="eastAsia" w:ascii="微软雅黑" w:hAnsi="微软雅黑" w:eastAsia="微软雅黑" w:cs="微软雅黑"/>
                <w:color w:val="1F2937"/>
                <w:sz w:val="20"/>
              </w:rPr>
              <w:t>活动后的增长结构由“人数留存”主导，而不是“人均深度留存”。这说明活动更可能扩大了参与面，而非显著改变单个KOL的长期交易强度。</w:t>
            </w:r>
          </w:p>
        </w:tc>
      </w:tr>
    </w:tbl>
    <w:p w14:paraId="7061A8D3">
      <w:pPr>
        <w:spacing w:after="20"/>
        <w:rPr>
          <w:rFonts w:hint="eastAsia" w:ascii="微软雅黑" w:hAnsi="微软雅黑" w:eastAsia="微软雅黑" w:cs="微软雅黑"/>
        </w:rPr>
      </w:pPr>
    </w:p>
    <w:p w14:paraId="0774A58D">
      <w:pPr>
        <w:pStyle w:val="3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0</w:t>
      </w:r>
      <w:r>
        <w:rPr>
          <w:rFonts w:hint="eastAsia" w:ascii="微软雅黑" w:hAnsi="微软雅黑" w:eastAsia="微软雅黑" w:cs="微软雅黑"/>
          <w:lang w:val="en-US" w:eastAsia="zh-CN"/>
        </w:rPr>
        <w:t>6</w:t>
      </w:r>
      <w:r>
        <w:rPr>
          <w:rFonts w:hint="eastAsia" w:ascii="微软雅黑" w:hAnsi="微软雅黑" w:eastAsia="微软雅黑" w:cs="微软雅黑"/>
        </w:rPr>
        <w:t xml:space="preserve">  核心</w:t>
      </w:r>
      <w:r>
        <w:rPr>
          <w:rFonts w:hint="eastAsia" w:ascii="微软雅黑" w:hAnsi="微软雅黑" w:eastAsia="微软雅黑" w:cs="微软雅黑"/>
          <w:lang w:val="en-US" w:eastAsia="zh-CN"/>
        </w:rPr>
        <w:t>结论与业务建议</w:t>
      </w:r>
    </w:p>
    <w:p w14:paraId="5F59FEE1">
      <w:pPr>
        <w:pStyle w:val="4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6.1 核心结论</w:t>
      </w: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8460"/>
      </w:tblGrid>
      <w:tr w14:paraId="53121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1F4E79"/>
            <w:tcMar>
              <w:top w:w="155" w:type="dxa"/>
              <w:left w:w="110" w:type="dxa"/>
              <w:bottom w:w="155" w:type="dxa"/>
              <w:right w:w="110" w:type="dxa"/>
            </w:tcMar>
            <w:vAlign w:val="center"/>
          </w:tcPr>
          <w:p w14:paraId="3FE9BBC7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7"/>
              </w:rPr>
              <w:t>01</w:t>
            </w:r>
          </w:p>
        </w:tc>
        <w:tc>
          <w:tcPr>
            <w:tcW w:w="8460" w:type="dxa"/>
            <w:shd w:val="clear" w:color="auto" w:fill="F7F9FC"/>
            <w:tcMar>
              <w:top w:w="145" w:type="dxa"/>
              <w:left w:w="180" w:type="dxa"/>
              <w:bottom w:w="145" w:type="dxa"/>
              <w:right w:w="180" w:type="dxa"/>
            </w:tcMar>
            <w:vAlign w:val="center"/>
          </w:tcPr>
          <w:p w14:paraId="0FA6B4CA">
            <w:pPr>
              <w:spacing w:after="8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65D"/>
                <w:sz w:val="21"/>
              </w:rPr>
              <w:t>活动是增长主驱动，而非市场顺风的被动结果</w:t>
            </w:r>
          </w:p>
          <w:p w14:paraId="550639A3">
            <w:pPr>
              <w:spacing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7"/>
                <w:sz w:val="18"/>
              </w:rPr>
              <w:t>KOL活动期增长36.98%，显著高于Retail的7.89%；78.66%的表面增长可解释为活动真实增量。</w:t>
            </w:r>
          </w:p>
        </w:tc>
      </w:tr>
    </w:tbl>
    <w:p w14:paraId="17317610">
      <w:pPr>
        <w:spacing w:after="40"/>
        <w:rPr>
          <w:rFonts w:hint="eastAsia" w:ascii="微软雅黑" w:hAnsi="微软雅黑" w:eastAsia="微软雅黑" w:cs="微软雅黑"/>
        </w:rPr>
      </w:pP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8460"/>
      </w:tblGrid>
      <w:tr w14:paraId="51B798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1F4E79"/>
            <w:tcMar>
              <w:top w:w="155" w:type="dxa"/>
              <w:left w:w="110" w:type="dxa"/>
              <w:bottom w:w="155" w:type="dxa"/>
              <w:right w:w="110" w:type="dxa"/>
            </w:tcMar>
            <w:vAlign w:val="center"/>
          </w:tcPr>
          <w:p w14:paraId="3D2C345B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7"/>
              </w:rPr>
              <w:t>02</w:t>
            </w:r>
          </w:p>
        </w:tc>
        <w:tc>
          <w:tcPr>
            <w:tcW w:w="8460" w:type="dxa"/>
            <w:shd w:val="clear" w:color="auto" w:fill="F7F9FC"/>
            <w:tcMar>
              <w:top w:w="145" w:type="dxa"/>
              <w:left w:w="180" w:type="dxa"/>
              <w:bottom w:w="145" w:type="dxa"/>
              <w:right w:w="180" w:type="dxa"/>
            </w:tcMar>
            <w:vAlign w:val="center"/>
          </w:tcPr>
          <w:p w14:paraId="32F2D40A">
            <w:pPr>
              <w:spacing w:after="8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65D"/>
                <w:sz w:val="21"/>
              </w:rPr>
              <w:t>活动有正收益，但并非高利润项目</w:t>
            </w:r>
          </w:p>
          <w:p w14:paraId="64AFA703">
            <w:pPr>
              <w:spacing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7"/>
                <w:sz w:val="18"/>
              </w:rPr>
              <w:t>增量毛手续费8,821.31 U覆盖了7,556.40 U新增返佣成本，增量ROI为16.74%。这支持“活动有效”，却不足以支持无门槛扩大预算。</w:t>
            </w:r>
          </w:p>
        </w:tc>
      </w:tr>
    </w:tbl>
    <w:p w14:paraId="6DAA536C">
      <w:pPr>
        <w:spacing w:after="40"/>
        <w:rPr>
          <w:rFonts w:hint="eastAsia" w:ascii="微软雅黑" w:hAnsi="微软雅黑" w:eastAsia="微软雅黑" w:cs="微软雅黑"/>
        </w:rPr>
      </w:pP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8460"/>
      </w:tblGrid>
      <w:tr w14:paraId="54F1E7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1F4E79"/>
            <w:tcMar>
              <w:top w:w="155" w:type="dxa"/>
              <w:left w:w="110" w:type="dxa"/>
              <w:bottom w:w="155" w:type="dxa"/>
              <w:right w:w="110" w:type="dxa"/>
            </w:tcMar>
            <w:vAlign w:val="center"/>
          </w:tcPr>
          <w:p w14:paraId="3460E0B5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7"/>
              </w:rPr>
              <w:t>03</w:t>
            </w:r>
          </w:p>
        </w:tc>
        <w:tc>
          <w:tcPr>
            <w:tcW w:w="8460" w:type="dxa"/>
            <w:shd w:val="clear" w:color="auto" w:fill="F7F9FC"/>
            <w:tcMar>
              <w:top w:w="145" w:type="dxa"/>
              <w:left w:w="180" w:type="dxa"/>
              <w:bottom w:w="145" w:type="dxa"/>
              <w:right w:w="180" w:type="dxa"/>
            </w:tcMar>
            <w:vAlign w:val="center"/>
          </w:tcPr>
          <w:p w14:paraId="296B2068">
            <w:pPr>
              <w:spacing w:after="8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65D"/>
                <w:sz w:val="21"/>
              </w:rPr>
              <w:t>活动后的价值主要沉淀在参与规模</w:t>
            </w:r>
          </w:p>
          <w:p w14:paraId="4CD52B7E">
            <w:pPr>
              <w:spacing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1F2937"/>
                <w:sz w:val="18"/>
              </w:rPr>
              <w:t>活动后交易额和累计日活跃KOL人次仍分别高于活动前16.47%和15.70%，人均交易额却仅高0.67%，说明强度红利大多随返佣率恢复而消退。</w:t>
            </w:r>
          </w:p>
        </w:tc>
      </w:tr>
    </w:tbl>
    <w:p w14:paraId="5D3AFA85">
      <w:pPr>
        <w:spacing w:after="40"/>
        <w:rPr>
          <w:rFonts w:hint="eastAsia" w:ascii="微软雅黑" w:hAnsi="微软雅黑" w:eastAsia="微软雅黑" w:cs="微软雅黑"/>
        </w:rPr>
      </w:pPr>
    </w:p>
    <w:p w14:paraId="569B8027">
      <w:pPr>
        <w:pStyle w:val="4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6.2业务建议</w:t>
      </w: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8460"/>
      </w:tblGrid>
      <w:tr w14:paraId="30F65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1F4E79"/>
            <w:tcMar>
              <w:top w:w="155" w:type="dxa"/>
              <w:left w:w="110" w:type="dxa"/>
              <w:bottom w:w="155" w:type="dxa"/>
              <w:right w:w="110" w:type="dxa"/>
            </w:tcMar>
            <w:vAlign w:val="center"/>
          </w:tcPr>
          <w:p w14:paraId="378D9676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7"/>
              </w:rPr>
              <w:t>01</w:t>
            </w:r>
          </w:p>
        </w:tc>
        <w:tc>
          <w:tcPr>
            <w:tcW w:w="8460" w:type="dxa"/>
            <w:shd w:val="clear" w:color="auto" w:fill="F7F9FC"/>
            <w:tcMar>
              <w:top w:w="145" w:type="dxa"/>
              <w:left w:w="180" w:type="dxa"/>
              <w:bottom w:w="145" w:type="dxa"/>
              <w:right w:w="180" w:type="dxa"/>
            </w:tcMar>
            <w:vAlign w:val="center"/>
          </w:tcPr>
          <w:p w14:paraId="392D6C38">
            <w:pPr>
              <w:spacing w:after="80"/>
              <w:rPr>
                <w:rFonts w:hint="eastAsia" w:ascii="微软雅黑" w:hAnsi="微软雅黑" w:eastAsia="微软雅黑" w:cs="微软雅黑"/>
                <w:b/>
                <w:color w:val="17365D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65D"/>
                <w:sz w:val="21"/>
              </w:rPr>
              <w:t>不建议直接续办当前高返佣模式，控制投入成本</w:t>
            </w:r>
          </w:p>
          <w:p w14:paraId="22F0AC13">
            <w:pPr>
              <w:spacing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本次KOL活动有效带动交易规模增长，活动真实增量达到 44.51百万，证明KOL激励对短期交易增长具有明显促进作用。</w:t>
            </w:r>
          </w:p>
          <w:p w14:paraId="283FCEF2">
            <w:pPr>
              <w:spacing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但活动结束后交易额回落，活动期间新增交易主要依赖</w:t>
            </w:r>
            <w:r>
              <w:rPr>
                <w:rFonts w:hint="eastAsia" w:cs="微软雅黑"/>
                <w:lang w:val="en-US" w:eastAsia="zh-CN"/>
              </w:rPr>
              <w:t>活动</w:t>
            </w:r>
            <w:r>
              <w:rPr>
                <w:rFonts w:hint="eastAsia" w:ascii="微软雅黑" w:hAnsi="微软雅黑" w:eastAsia="微软雅黑" w:cs="微软雅黑"/>
              </w:rPr>
              <w:t>驱动，用户长期交易提升有限。同时考虑返佣成本投入，当前模式的长期投入产出效率仍需进一步验证。</w:t>
            </w:r>
          </w:p>
          <w:p w14:paraId="4793BAFC">
            <w:pPr>
              <w:spacing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建议暂停按照当前返佣策略持续投入，不进行简单复制。</w:t>
            </w:r>
          </w:p>
        </w:tc>
      </w:tr>
    </w:tbl>
    <w:p w14:paraId="5D6D33D8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8460"/>
      </w:tblGrid>
      <w:tr w14:paraId="6E9F0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1F4E79"/>
            <w:tcMar>
              <w:top w:w="155" w:type="dxa"/>
              <w:left w:w="110" w:type="dxa"/>
              <w:bottom w:w="155" w:type="dxa"/>
              <w:right w:w="110" w:type="dxa"/>
            </w:tcMar>
            <w:vAlign w:val="center"/>
          </w:tcPr>
          <w:p w14:paraId="0CEA7093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7"/>
              </w:rPr>
              <w:t>0</w:t>
            </w:r>
            <w:r>
              <w:rPr>
                <w:rFonts w:hint="eastAsia" w:cs="微软雅黑"/>
                <w:b/>
                <w:color w:val="FFFFFF"/>
                <w:sz w:val="27"/>
                <w:lang w:val="en-US" w:eastAsia="zh-CN"/>
              </w:rPr>
              <w:t>2</w:t>
            </w:r>
          </w:p>
        </w:tc>
        <w:tc>
          <w:tcPr>
            <w:tcW w:w="8460" w:type="dxa"/>
            <w:shd w:val="clear" w:color="auto" w:fill="F7F9FC"/>
            <w:tcMar>
              <w:top w:w="145" w:type="dxa"/>
              <w:left w:w="180" w:type="dxa"/>
              <w:bottom w:w="145" w:type="dxa"/>
              <w:right w:w="180" w:type="dxa"/>
            </w:tcMar>
            <w:vAlign w:val="center"/>
          </w:tcPr>
          <w:p w14:paraId="26C1DF1D">
            <w:pPr>
              <w:spacing w:after="80"/>
              <w:rPr>
                <w:rFonts w:hint="eastAsia" w:ascii="微软雅黑" w:hAnsi="微软雅黑" w:eastAsia="微软雅黑" w:cs="微软雅黑"/>
                <w:b/>
                <w:color w:val="17365D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65D"/>
                <w:sz w:val="21"/>
              </w:rPr>
              <w:t>优化返佣机制，从“交易额导向”转向“增量价值导向”</w:t>
            </w:r>
          </w:p>
          <w:p w14:paraId="6BCE6B7B">
            <w:pPr>
              <w:spacing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当前活动主要以交易规模提升作为目标，容易导致：</w:t>
            </w:r>
          </w:p>
          <w:p w14:paraId="5E1AFBC9">
            <w:pPr>
              <w:numPr>
                <w:ilvl w:val="0"/>
                <w:numId w:val="7"/>
              </w:numPr>
              <w:spacing w:after="0" w:line="259" w:lineRule="auto"/>
              <w:ind w:left="420" w:leftChars="0" w:hanging="420" w:firstLineChars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用户为了获取奖励产生短期交易；</w:t>
            </w:r>
          </w:p>
          <w:p w14:paraId="6479CD4F">
            <w:pPr>
              <w:numPr>
                <w:ilvl w:val="0"/>
                <w:numId w:val="7"/>
              </w:numPr>
              <w:spacing w:after="0" w:line="259" w:lineRule="auto"/>
              <w:ind w:left="420" w:leftChars="0" w:hanging="420" w:firstLineChars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KOL贡献质量差异无法体现；</w:t>
            </w:r>
          </w:p>
          <w:p w14:paraId="19A26A91">
            <w:pPr>
              <w:numPr>
                <w:ilvl w:val="0"/>
                <w:numId w:val="7"/>
              </w:numPr>
              <w:spacing w:after="0" w:line="259" w:lineRule="auto"/>
              <w:ind w:left="420" w:leftChars="0" w:hanging="420" w:firstLineChars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高返佣投入未必带来长期价值。</w:t>
            </w:r>
          </w:p>
          <w:p w14:paraId="5FB030AB">
            <w:pPr>
              <w:spacing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建议后续：</w:t>
            </w:r>
          </w:p>
          <w:p w14:paraId="01BCE09C">
            <w:pPr>
              <w:numPr>
                <w:ilvl w:val="0"/>
                <w:numId w:val="7"/>
              </w:numPr>
              <w:spacing w:after="0" w:line="259" w:lineRule="auto"/>
              <w:ind w:left="420" w:leftChars="0" w:hanging="420" w:firstLineChars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根据KOL历史贡献分层；</w:t>
            </w:r>
          </w:p>
          <w:p w14:paraId="500ECA11">
            <w:pPr>
              <w:numPr>
                <w:ilvl w:val="0"/>
                <w:numId w:val="7"/>
              </w:numPr>
              <w:spacing w:after="0" w:line="259" w:lineRule="auto"/>
              <w:ind w:left="420" w:leftChars="0" w:hanging="420" w:firstLineChars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提高高价值KOL激励；</w:t>
            </w:r>
          </w:p>
          <w:p w14:paraId="41BB390C">
            <w:pPr>
              <w:numPr>
                <w:ilvl w:val="0"/>
                <w:numId w:val="7"/>
              </w:numPr>
              <w:spacing w:after="0" w:line="259" w:lineRule="auto"/>
              <w:ind w:left="420" w:leftChars="0" w:hanging="420" w:firstLineChars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降低低贡献KOL返佣比例；</w:t>
            </w:r>
          </w:p>
          <w:p w14:paraId="4A36D7C1">
            <w:pPr>
              <w:numPr>
                <w:ilvl w:val="0"/>
                <w:numId w:val="7"/>
              </w:numPr>
              <w:spacing w:after="0" w:line="259" w:lineRule="auto"/>
              <w:ind w:left="420" w:leftChars="0" w:hanging="420" w:firstLineChars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结合新增净手续费贡献进行奖励。</w:t>
            </w:r>
          </w:p>
        </w:tc>
      </w:tr>
    </w:tbl>
    <w:p w14:paraId="1BFCCF0F">
      <w:pPr>
        <w:spacing w:after="20"/>
        <w:rPr>
          <w:rFonts w:hint="eastAsia" w:ascii="微软雅黑" w:hAnsi="微软雅黑" w:eastAsia="微软雅黑" w:cs="微软雅黑"/>
        </w:rPr>
      </w:pPr>
    </w:p>
    <w:p w14:paraId="72BAAE76">
      <w:pPr>
        <w:spacing w:after="20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1. 建立KOL分层管理体系</w:t>
      </w:r>
    </w:p>
    <w:p w14:paraId="51831C70">
      <w:pPr>
        <w:spacing w:after="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基于历史交易贡献、用户留存及成本效率，对KOL进行分层管理，将资源优先投入高价值KOL。</w:t>
      </w:r>
    </w:p>
    <w:p w14:paraId="14813273">
      <w:pPr>
        <w:spacing w:after="20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2. 优化激励机制</w:t>
      </w:r>
    </w:p>
    <w:p w14:paraId="429F56BE">
      <w:pPr>
        <w:spacing w:after="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由统一返佣调整为阶梯式激励：</w:t>
      </w:r>
    </w:p>
    <w:p w14:paraId="7CA29371">
      <w:pPr>
        <w:spacing w:after="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高价值KOL提高激励，扩大有效贡献；</w:t>
      </w:r>
    </w:p>
    <w:p w14:paraId="07172889">
      <w:pPr>
        <w:spacing w:after="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低贡献KOL降低补贴，控制无效成本。</w:t>
      </w:r>
    </w:p>
    <w:p w14:paraId="051124E0">
      <w:pPr>
        <w:spacing w:after="20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3. 从交易规模转向利润贡献</w:t>
      </w:r>
    </w:p>
    <w:p w14:paraId="02244AD6">
      <w:pPr>
        <w:spacing w:after="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后续活动评估由交易额指标升级为新增净手续费贡献，以真实业务收益衡量KOL价值。</w:t>
      </w:r>
    </w:p>
    <w:p w14:paraId="4CA26522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8460"/>
      </w:tblGrid>
      <w:tr w14:paraId="3F9234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1F4E79"/>
            <w:tcMar>
              <w:top w:w="155" w:type="dxa"/>
              <w:left w:w="110" w:type="dxa"/>
              <w:bottom w:w="155" w:type="dxa"/>
              <w:right w:w="110" w:type="dxa"/>
            </w:tcMar>
            <w:vAlign w:val="center"/>
          </w:tcPr>
          <w:p w14:paraId="6562C80D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7"/>
              </w:rPr>
              <w:t>0</w:t>
            </w:r>
            <w:r>
              <w:rPr>
                <w:rFonts w:hint="eastAsia" w:cs="微软雅黑"/>
                <w:b/>
                <w:color w:val="FFFFFF"/>
                <w:sz w:val="27"/>
                <w:lang w:val="en-US" w:eastAsia="zh-CN"/>
              </w:rPr>
              <w:t>3</w:t>
            </w:r>
          </w:p>
        </w:tc>
        <w:tc>
          <w:tcPr>
            <w:tcW w:w="8460" w:type="dxa"/>
            <w:shd w:val="clear" w:color="auto" w:fill="F7F9FC"/>
            <w:tcMar>
              <w:top w:w="145" w:type="dxa"/>
              <w:left w:w="180" w:type="dxa"/>
              <w:bottom w:w="145" w:type="dxa"/>
              <w:right w:w="180" w:type="dxa"/>
            </w:tcMar>
            <w:vAlign w:val="center"/>
          </w:tcPr>
          <w:p w14:paraId="53D2BC63">
            <w:pPr>
              <w:spacing w:after="80"/>
              <w:rPr>
                <w:rFonts w:hint="eastAsia" w:ascii="微软雅黑" w:hAnsi="微软雅黑" w:eastAsia="微软雅黑" w:cs="微软雅黑"/>
                <w:b/>
                <w:color w:val="17365D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65D"/>
                <w:sz w:val="21"/>
              </w:rPr>
              <w:t>建立KOL活动ROI评估体系</w:t>
            </w:r>
          </w:p>
          <w:p w14:paraId="0584240F">
            <w:pPr>
              <w:spacing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当前活动主要关注交易规模提升，后续建议建立以收益贡献为核心的ROI评估体系。</w:t>
            </w:r>
          </w:p>
          <w:p w14:paraId="329F0228">
            <w:pPr>
              <w:numPr>
                <w:ilvl w:val="0"/>
                <w:numId w:val="7"/>
              </w:numPr>
              <w:spacing w:after="0" w:line="259" w:lineRule="auto"/>
              <w:ind w:left="420" w:leftChars="0" w:hanging="420" w:firstLineChars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收益侧：关注增量交易额、新增手续费收益；</w:t>
            </w:r>
          </w:p>
          <w:p w14:paraId="75B96EFC">
            <w:pPr>
              <w:numPr>
                <w:ilvl w:val="0"/>
                <w:numId w:val="7"/>
              </w:numPr>
              <w:spacing w:after="0" w:line="259" w:lineRule="auto"/>
              <w:ind w:left="420" w:leftChars="0" w:hanging="420" w:firstLineChars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成本侧：关注返佣投入及资源消耗；</w:t>
            </w:r>
          </w:p>
          <w:p w14:paraId="488F86A9">
            <w:pPr>
              <w:numPr>
                <w:ilvl w:val="0"/>
                <w:numId w:val="7"/>
              </w:numPr>
              <w:spacing w:after="0" w:line="259" w:lineRule="auto"/>
              <w:ind w:left="420" w:leftChars="0" w:hanging="420" w:firstLineChars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效率侧：通过增量ROI衡量投入产出效率；</w:t>
            </w:r>
          </w:p>
          <w:p w14:paraId="2BF71801">
            <w:pPr>
              <w:numPr>
                <w:ilvl w:val="0"/>
                <w:numId w:val="7"/>
              </w:numPr>
              <w:spacing w:after="0" w:line="259" w:lineRule="auto"/>
              <w:ind w:left="420" w:leftChars="0" w:hanging="420" w:firstLineChars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流程侧：建立活动前预测、活动中监控、活动后复盘的闭环机制。</w:t>
            </w:r>
          </w:p>
        </w:tc>
      </w:tr>
    </w:tbl>
    <w:p w14:paraId="07EA9439">
      <w:pPr>
        <w:spacing w:after="20"/>
        <w:rPr>
          <w:rFonts w:hint="eastAsia" w:ascii="微软雅黑" w:hAnsi="微软雅黑" w:eastAsia="微软雅黑" w:cs="微软雅黑"/>
        </w:rPr>
      </w:pPr>
    </w:p>
    <w:p w14:paraId="71619656">
      <w:pPr>
        <w:spacing w:after="20"/>
        <w:rPr>
          <w:rFonts w:hint="eastAsia" w:ascii="微软雅黑" w:hAnsi="微软雅黑" w:eastAsia="微软雅黑" w:cs="微软雅黑"/>
        </w:rPr>
      </w:pPr>
    </w:p>
    <w:p w14:paraId="11FF6D42">
      <w:pPr>
        <w:spacing w:after="20"/>
        <w:rPr>
          <w:rFonts w:hint="eastAsia" w:ascii="微软雅黑" w:hAnsi="微软雅黑" w:eastAsia="微软雅黑" w:cs="微软雅黑"/>
        </w:rPr>
      </w:pPr>
    </w:p>
    <w:p w14:paraId="5768F7D6">
      <w:pPr>
        <w:spacing w:after="20"/>
        <w:rPr>
          <w:rFonts w:hint="eastAsia" w:ascii="微软雅黑" w:hAnsi="微软雅黑" w:eastAsia="微软雅黑" w:cs="微软雅黑"/>
        </w:rPr>
      </w:pPr>
    </w:p>
    <w:p w14:paraId="24D365D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附录A  指标口径、字段与关键数据</w:t>
      </w:r>
    </w:p>
    <w:p w14:paraId="7F70B40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A.1 字段字典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800"/>
        <w:gridCol w:w="3860"/>
      </w:tblGrid>
      <w:tr w14:paraId="2C7D3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0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11838D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</w:rPr>
              <w:t>字段</w:t>
            </w:r>
          </w:p>
        </w:tc>
        <w:tc>
          <w:tcPr>
            <w:tcW w:w="280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370E75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</w:rPr>
              <w:t>含义</w:t>
            </w:r>
          </w:p>
        </w:tc>
        <w:tc>
          <w:tcPr>
            <w:tcW w:w="3860" w:type="dxa"/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E6579A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</w:rPr>
              <w:t>使用说明</w:t>
            </w:r>
          </w:p>
        </w:tc>
      </w:tr>
      <w:tr w14:paraId="5F53D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</w:tcPr>
          <w:p w14:paraId="1DCBD922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date</w:t>
            </w:r>
          </w:p>
        </w:tc>
        <w:tc>
          <w:tcPr>
            <w:tcW w:w="2800" w:type="dxa"/>
          </w:tcPr>
          <w:p w14:paraId="6FA63E64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业务日期</w:t>
            </w:r>
          </w:p>
        </w:tc>
        <w:tc>
          <w:tcPr>
            <w:tcW w:w="3860" w:type="dxa"/>
          </w:tcPr>
          <w:p w14:paraId="0F89CD7B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日粒度；共90天</w:t>
            </w:r>
          </w:p>
        </w:tc>
      </w:tr>
      <w:tr w14:paraId="2C135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shd w:val="clear" w:color="auto" w:fill="F7F9FC"/>
          </w:tcPr>
          <w:p w14:paraId="12BC3972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day_index</w:t>
            </w:r>
          </w:p>
        </w:tc>
        <w:tc>
          <w:tcPr>
            <w:tcW w:w="2800" w:type="dxa"/>
            <w:shd w:val="clear" w:color="auto" w:fill="F7F9FC"/>
          </w:tcPr>
          <w:p w14:paraId="37097CD0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观察期内序号</w:t>
            </w:r>
          </w:p>
        </w:tc>
        <w:tc>
          <w:tcPr>
            <w:tcW w:w="3860" w:type="dxa"/>
            <w:shd w:val="clear" w:color="auto" w:fill="F7F9FC"/>
          </w:tcPr>
          <w:p w14:paraId="7D3DC103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辅助排序与检查完整性</w:t>
            </w:r>
          </w:p>
        </w:tc>
      </w:tr>
      <w:tr w14:paraId="35F9A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</w:tcPr>
          <w:p w14:paraId="4774FA21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phase</w:t>
            </w:r>
          </w:p>
        </w:tc>
        <w:tc>
          <w:tcPr>
            <w:tcW w:w="2800" w:type="dxa"/>
          </w:tcPr>
          <w:p w14:paraId="7032AF6E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活动阶段</w:t>
            </w:r>
          </w:p>
        </w:tc>
        <w:tc>
          <w:tcPr>
            <w:tcW w:w="3860" w:type="dxa"/>
          </w:tcPr>
          <w:p w14:paraId="72F2D363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活动前 / 活动中 / 活动后</w:t>
            </w:r>
          </w:p>
        </w:tc>
      </w:tr>
      <w:tr w14:paraId="599EE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</w:tcPr>
          <w:p w14:paraId="4358AB6D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kol_active_users</w:t>
            </w:r>
          </w:p>
        </w:tc>
        <w:tc>
          <w:tcPr>
            <w:tcW w:w="2800" w:type="dxa"/>
          </w:tcPr>
          <w:p w14:paraId="066B486F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KOL日活跃数量</w:t>
            </w:r>
          </w:p>
        </w:tc>
        <w:tc>
          <w:tcPr>
            <w:tcW w:w="3860" w:type="dxa"/>
          </w:tcPr>
          <w:p w14:paraId="304148EE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阶段求和为累计日活跃人次</w:t>
            </w:r>
          </w:p>
        </w:tc>
      </w:tr>
      <w:tr w14:paraId="57E1F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shd w:val="clear" w:color="auto" w:fill="F7F9FC"/>
          </w:tcPr>
          <w:p w14:paraId="6F5F45C9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kol_trade_amount_U</w:t>
            </w:r>
          </w:p>
        </w:tc>
        <w:tc>
          <w:tcPr>
            <w:tcW w:w="2800" w:type="dxa"/>
            <w:shd w:val="clear" w:color="auto" w:fill="F7F9FC"/>
          </w:tcPr>
          <w:p w14:paraId="1DAD8420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KOL交易额</w:t>
            </w:r>
          </w:p>
        </w:tc>
        <w:tc>
          <w:tcPr>
            <w:tcW w:w="3860" w:type="dxa"/>
            <w:shd w:val="clear" w:color="auto" w:fill="F7F9FC"/>
          </w:tcPr>
          <w:p w14:paraId="2883DD50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核心规模指标，单位U</w:t>
            </w:r>
          </w:p>
        </w:tc>
      </w:tr>
      <w:tr w14:paraId="4F110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</w:tcPr>
          <w:p w14:paraId="1DD38D3E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kol_gross_fee_U</w:t>
            </w:r>
          </w:p>
        </w:tc>
        <w:tc>
          <w:tcPr>
            <w:tcW w:w="2800" w:type="dxa"/>
          </w:tcPr>
          <w:p w14:paraId="0C96DC81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KOL毛手续费</w:t>
            </w:r>
          </w:p>
        </w:tc>
        <w:tc>
          <w:tcPr>
            <w:tcW w:w="3860" w:type="dxa"/>
          </w:tcPr>
          <w:p w14:paraId="2B6C7697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返佣前手续费收入</w:t>
            </w:r>
          </w:p>
        </w:tc>
      </w:tr>
      <w:tr w14:paraId="279A9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shd w:val="clear" w:color="auto" w:fill="F7F9FC"/>
          </w:tcPr>
          <w:p w14:paraId="2E709699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kol_rebate_U</w:t>
            </w:r>
          </w:p>
        </w:tc>
        <w:tc>
          <w:tcPr>
            <w:tcW w:w="2800" w:type="dxa"/>
            <w:shd w:val="clear" w:color="auto" w:fill="F7F9FC"/>
          </w:tcPr>
          <w:p w14:paraId="17CF2650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KOL返佣</w:t>
            </w:r>
          </w:p>
        </w:tc>
        <w:tc>
          <w:tcPr>
            <w:tcW w:w="3860" w:type="dxa"/>
            <w:shd w:val="clear" w:color="auto" w:fill="F7F9FC"/>
          </w:tcPr>
          <w:p w14:paraId="1F63CE68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实际返佣成本</w:t>
            </w:r>
          </w:p>
        </w:tc>
      </w:tr>
      <w:tr w14:paraId="3DE57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</w:tcPr>
          <w:p w14:paraId="2B4C9478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kol_net_fee_U</w:t>
            </w:r>
          </w:p>
        </w:tc>
        <w:tc>
          <w:tcPr>
            <w:tcW w:w="2800" w:type="dxa"/>
          </w:tcPr>
          <w:p w14:paraId="142D66DB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KOL净手续费</w:t>
            </w:r>
          </w:p>
        </w:tc>
        <w:tc>
          <w:tcPr>
            <w:tcW w:w="3860" w:type="dxa"/>
          </w:tcPr>
          <w:p w14:paraId="6B140BBD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毛手续费－返佣</w:t>
            </w:r>
          </w:p>
        </w:tc>
      </w:tr>
      <w:tr w14:paraId="1522A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shd w:val="clear" w:color="auto" w:fill="F7F9FC"/>
          </w:tcPr>
          <w:p w14:paraId="23FBB3B7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kol_rebate_rate</w:t>
            </w:r>
          </w:p>
        </w:tc>
        <w:tc>
          <w:tcPr>
            <w:tcW w:w="2800" w:type="dxa"/>
            <w:shd w:val="clear" w:color="auto" w:fill="F7F9FC"/>
          </w:tcPr>
          <w:p w14:paraId="747AE6A1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KOL返佣率</w:t>
            </w:r>
          </w:p>
        </w:tc>
        <w:tc>
          <w:tcPr>
            <w:tcW w:w="3860" w:type="dxa"/>
            <w:shd w:val="clear" w:color="auto" w:fill="F7F9FC"/>
          </w:tcPr>
          <w:p w14:paraId="305BAD7F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活动前/后15%，活动中30%</w:t>
            </w:r>
          </w:p>
        </w:tc>
      </w:tr>
      <w:tr w14:paraId="23A0C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</w:tcPr>
          <w:p w14:paraId="10424FB6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retail_active_users</w:t>
            </w:r>
          </w:p>
        </w:tc>
        <w:tc>
          <w:tcPr>
            <w:tcW w:w="2800" w:type="dxa"/>
          </w:tcPr>
          <w:p w14:paraId="3449C65C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Retail日活跃数量</w:t>
            </w:r>
          </w:p>
        </w:tc>
        <w:tc>
          <w:tcPr>
            <w:tcW w:w="3860" w:type="dxa"/>
          </w:tcPr>
          <w:p w14:paraId="795CABFA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同期趋势参考</w:t>
            </w:r>
          </w:p>
        </w:tc>
      </w:tr>
      <w:tr w14:paraId="2B5BE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shd w:val="clear" w:color="auto" w:fill="F7F9FC"/>
          </w:tcPr>
          <w:p w14:paraId="1125BA19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retail_trade_amount_U</w:t>
            </w:r>
          </w:p>
        </w:tc>
        <w:tc>
          <w:tcPr>
            <w:tcW w:w="2800" w:type="dxa"/>
            <w:shd w:val="clear" w:color="auto" w:fill="F7F9FC"/>
          </w:tcPr>
          <w:p w14:paraId="7BFF5844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Retail交易额</w:t>
            </w:r>
          </w:p>
        </w:tc>
        <w:tc>
          <w:tcPr>
            <w:tcW w:w="3860" w:type="dxa"/>
            <w:shd w:val="clear" w:color="auto" w:fill="F7F9FC"/>
          </w:tcPr>
          <w:p w14:paraId="33CB2259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自然增长代理核心字段</w:t>
            </w:r>
          </w:p>
        </w:tc>
      </w:tr>
      <w:tr w14:paraId="45A8D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</w:tcPr>
          <w:p w14:paraId="3E38A013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retail_gross_fee_U</w:t>
            </w:r>
          </w:p>
        </w:tc>
        <w:tc>
          <w:tcPr>
            <w:tcW w:w="2800" w:type="dxa"/>
          </w:tcPr>
          <w:p w14:paraId="2937F90E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Retail毛手续费</w:t>
            </w:r>
          </w:p>
        </w:tc>
        <w:tc>
          <w:tcPr>
            <w:tcW w:w="3860" w:type="dxa"/>
          </w:tcPr>
          <w:p w14:paraId="27D673B7">
            <w:pPr>
              <w:spacing w:before="0" w:after="0" w:line="252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2937"/>
                <w:sz w:val="15"/>
              </w:rPr>
              <w:t>Retail收入参考</w:t>
            </w:r>
          </w:p>
        </w:tc>
      </w:tr>
    </w:tbl>
    <w:p w14:paraId="23887D5C">
      <w:pPr>
        <w:spacing w:after="20"/>
        <w:rPr>
          <w:rFonts w:hint="eastAsia" w:ascii="微软雅黑" w:hAnsi="微软雅黑" w:eastAsia="微软雅黑" w:cs="微软雅黑"/>
        </w:rPr>
      </w:pPr>
    </w:p>
    <w:p w14:paraId="5C048100">
      <w:pPr>
        <w:spacing w:after="20"/>
        <w:rPr>
          <w:rFonts w:hint="eastAsia" w:ascii="微软雅黑" w:hAnsi="微软雅黑" w:eastAsia="微软雅黑" w:cs="微软雅黑"/>
        </w:rPr>
      </w:pPr>
    </w:p>
    <w:p w14:paraId="5B41FCE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附录B  完整SQL实现</w:t>
      </w:r>
    </w:p>
    <w:p w14:paraId="08C9A36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B.1 阶段汇总与横向展开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4E07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6F8F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E6C60E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>WITH phase_sum AS (</w:t>
            </w:r>
          </w:p>
          <w:p w14:paraId="5901489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-- 1. 按阶段汇总基础指标</w:t>
            </w:r>
          </w:p>
          <w:p w14:paraId="7B2D2B9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SELECT</w:t>
            </w:r>
          </w:p>
          <w:p w14:paraId="168B3B5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phase,</w:t>
            </w:r>
          </w:p>
          <w:p w14:paraId="7304A94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SUM(retail_trade_amount_U) AS retail_amount,</w:t>
            </w:r>
          </w:p>
          <w:p w14:paraId="2DA91DB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SUM(kol_trade_amount_U)    AS kol_amount,</w:t>
            </w:r>
          </w:p>
          <w:p w14:paraId="5563578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SUM(kol_gross_fee_U)       AS kol_gross_fee,</w:t>
            </w:r>
          </w:p>
          <w:p w14:paraId="112429A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SUM(kol_rebate_U)          AS kol_rebate,</w:t>
            </w:r>
          </w:p>
          <w:p w14:paraId="22C35FF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SUM(kol_active_users)      AS kol_active_users</w:t>
            </w:r>
          </w:p>
          <w:p w14:paraId="6A2598D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FROM kol_activity_daily</w:t>
            </w:r>
          </w:p>
          <w:p w14:paraId="7D8A30E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WHERE phase IN ('活动前', '活动中', '活动后')</w:t>
            </w:r>
          </w:p>
          <w:p w14:paraId="4CAD3DE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GROUP BY phase</w:t>
            </w:r>
          </w:p>
          <w:p w14:paraId="2CD3346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>),</w:t>
            </w:r>
          </w:p>
          <w:p w14:paraId="6DCD3C4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</w:p>
          <w:p w14:paraId="4D17FE0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>metric AS (</w:t>
            </w:r>
          </w:p>
          <w:p w14:paraId="4BA1BED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-- 2. 活动前、中、后横向展开</w:t>
            </w:r>
          </w:p>
          <w:p w14:paraId="5939CD2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SELECT</w:t>
            </w:r>
          </w:p>
          <w:p w14:paraId="1FC4A83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MAX(CASE WHEN phase = '活动前' THEN retail_amount END)</w:t>
            </w:r>
          </w:p>
          <w:p w14:paraId="02A8F22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    AS before_retail_amount,</w:t>
            </w:r>
          </w:p>
          <w:p w14:paraId="60FF43A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MAX(CASE WHEN phase = '活动中' THEN retail_amount END)</w:t>
            </w:r>
          </w:p>
          <w:p w14:paraId="04047CC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    AS during_retail_amount,</w:t>
            </w:r>
          </w:p>
          <w:p w14:paraId="5C20E6F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MAX(CASE WHEN phase = '活动后' THEN retail_amount END)</w:t>
            </w:r>
          </w:p>
          <w:p w14:paraId="6B4DFE2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    AS after_retail_amount,</w:t>
            </w:r>
          </w:p>
          <w:p w14:paraId="2ADCB7B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MAX(CASE WHEN phase = '活动前' THEN kol_amount END)</w:t>
            </w:r>
          </w:p>
          <w:p w14:paraId="695A724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    AS before_kol_amount,</w:t>
            </w:r>
          </w:p>
          <w:p w14:paraId="5BECC7B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MAX(CASE WHEN phase = '活动中' THEN kol_amount END)</w:t>
            </w:r>
          </w:p>
          <w:p w14:paraId="6FE3353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    AS during_kol_amount,</w:t>
            </w:r>
          </w:p>
          <w:p w14:paraId="0E28096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MAX(CASE WHEN phase = '活动后' THEN kol_amount END)</w:t>
            </w:r>
          </w:p>
          <w:p w14:paraId="25472AC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    AS after_kol_amount,</w:t>
            </w:r>
          </w:p>
          <w:p w14:paraId="7C5C885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MAX(CASE WHEN phase = '活动前' THEN kol_gross_fee END)</w:t>
            </w:r>
          </w:p>
          <w:p w14:paraId="65E5665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    AS before_kol_gross_fee,</w:t>
            </w:r>
          </w:p>
          <w:p w14:paraId="47DF8E8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MAX(CASE WHEN phase = '活动中' THEN kol_rebate END)</w:t>
            </w:r>
          </w:p>
          <w:p w14:paraId="4AAD163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    AS during_kol_rebate,</w:t>
            </w:r>
          </w:p>
          <w:p w14:paraId="1F510E3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MAX(CASE WHEN phase = '活动后' THEN kol_rebate END)</w:t>
            </w:r>
          </w:p>
          <w:p w14:paraId="7FDCE4C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    AS after_kol_rebate,</w:t>
            </w:r>
          </w:p>
          <w:p w14:paraId="0711BDE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MAX(CASE WHEN phase = '活动前' THEN kol_active_users END)</w:t>
            </w:r>
          </w:p>
          <w:p w14:paraId="58AD55E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    AS before_kol_active_users,</w:t>
            </w:r>
          </w:p>
          <w:p w14:paraId="7677351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MAX(CASE WHEN phase = '活动中' THEN kol_active_users END)</w:t>
            </w:r>
          </w:p>
          <w:p w14:paraId="387F4E2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    AS during_kol_active_users,</w:t>
            </w:r>
          </w:p>
          <w:p w14:paraId="7EF8C4D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MAX(CASE WHEN phase = '活动后' THEN kol_active_users END)</w:t>
            </w:r>
          </w:p>
          <w:p w14:paraId="03E1C2D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    AS after_kol_active_users</w:t>
            </w:r>
          </w:p>
          <w:p w14:paraId="07DC77D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FROM phase_sum</w:t>
            </w:r>
          </w:p>
          <w:p w14:paraId="2256A95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>),</w:t>
            </w:r>
          </w:p>
        </w:tc>
      </w:tr>
    </w:tbl>
    <w:p w14:paraId="0411ABE4">
      <w:pPr>
        <w:spacing w:after="20"/>
        <w:rPr>
          <w:rFonts w:hint="eastAsia" w:ascii="微软雅黑" w:hAnsi="微软雅黑" w:eastAsia="微软雅黑" w:cs="微软雅黑"/>
        </w:rPr>
      </w:pPr>
    </w:p>
    <w:p w14:paraId="43A551DD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 xml:space="preserve">B.2 </w:t>
      </w:r>
      <w:r>
        <w:rPr>
          <w:rFonts w:hint="eastAsia" w:ascii="微软雅黑" w:hAnsi="微软雅黑" w:eastAsia="微软雅黑" w:cs="微软雅黑"/>
          <w:sz w:val="24"/>
          <w:szCs w:val="24"/>
        </w:rPr>
        <w:t>准备分析需要的基础变量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和</w:t>
      </w:r>
      <w:r>
        <w:rPr>
          <w:rFonts w:hint="eastAsia" w:ascii="微软雅黑" w:hAnsi="微软雅黑" w:eastAsia="微软雅黑" w:cs="微软雅黑"/>
          <w:sz w:val="24"/>
          <w:szCs w:val="24"/>
        </w:rPr>
        <w:t>基于基础变量计算最终业务指标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C3AE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6F8F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198B84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>calc_base AS (</w:t>
            </w:r>
          </w:p>
          <w:p w14:paraId="252D264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-- 3. 计算后续复用的基础指标</w:t>
            </w:r>
          </w:p>
          <w:p w14:paraId="41FF87D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SELECT</w:t>
            </w:r>
          </w:p>
          <w:p w14:paraId="10EF12B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*,</w:t>
            </w:r>
          </w:p>
          <w:p w14:paraId="12FFA61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ROUND(</w:t>
            </w:r>
          </w:p>
          <w:p w14:paraId="76AB5FC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    during_retail_amount</w:t>
            </w:r>
          </w:p>
          <w:p w14:paraId="3165E73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    / NULLIF(before_retail_amount, 0) - 1,</w:t>
            </w:r>
          </w:p>
          <w:p w14:paraId="5B9D5D4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    4</w:t>
            </w:r>
          </w:p>
          <w:p w14:paraId="518B5E9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) AS retail_growth_rate,</w:t>
            </w:r>
          </w:p>
          <w:p w14:paraId="727CAA4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</w:p>
          <w:p w14:paraId="1786BF6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before_kol_amount * (</w:t>
            </w:r>
          </w:p>
          <w:p w14:paraId="0782310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    1 + ROUND(</w:t>
            </w:r>
          </w:p>
          <w:p w14:paraId="5166C0A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        during_retail_amount</w:t>
            </w:r>
          </w:p>
          <w:p w14:paraId="434A10D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        / NULLIF(before_retail_amount, 0) - 1,</w:t>
            </w:r>
          </w:p>
          <w:p w14:paraId="1DA35DB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        4</w:t>
            </w:r>
          </w:p>
          <w:p w14:paraId="52EC883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    )</w:t>
            </w:r>
          </w:p>
          <w:p w14:paraId="0E8B121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) AS expected_kol_amount,</w:t>
            </w:r>
          </w:p>
          <w:p w14:paraId="0CA8B9E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</w:p>
          <w:p w14:paraId="278910C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ROUND(</w:t>
            </w:r>
          </w:p>
          <w:p w14:paraId="517BE8E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    before_kol_gross_fee</w:t>
            </w:r>
          </w:p>
          <w:p w14:paraId="5713256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    / NULLIF(before_kol_amount, 0),</w:t>
            </w:r>
          </w:p>
          <w:p w14:paraId="7938B5C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    8</w:t>
            </w:r>
          </w:p>
          <w:p w14:paraId="0968680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) AS fee_rate,</w:t>
            </w:r>
          </w:p>
          <w:p w14:paraId="153F2A1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</w:p>
          <w:p w14:paraId="15EF95B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during_kol_amount - before_kol_amount</w:t>
            </w:r>
          </w:p>
          <w:p w14:paraId="6A69D56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    AS kol_amount_change</w:t>
            </w:r>
          </w:p>
          <w:p w14:paraId="1410B82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FROM metric</w:t>
            </w:r>
          </w:p>
          <w:p w14:paraId="7C66FA5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>),</w:t>
            </w:r>
          </w:p>
          <w:p w14:paraId="3AC6614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</w:p>
          <w:p w14:paraId="1907FB5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>calc AS (</w:t>
            </w:r>
          </w:p>
          <w:p w14:paraId="7CB5DCA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-- 4. 活动真实增量、增量收入、增量成本</w:t>
            </w:r>
          </w:p>
          <w:p w14:paraId="129B4A5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SELECT</w:t>
            </w:r>
          </w:p>
          <w:p w14:paraId="4821AE7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*,</w:t>
            </w:r>
          </w:p>
          <w:p w14:paraId="1705C06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during_kol_amount - expected_kol_amount</w:t>
            </w:r>
          </w:p>
          <w:p w14:paraId="2DEBADF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    AS incremental_trade_amount,</w:t>
            </w:r>
          </w:p>
          <w:p w14:paraId="10B280A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</w:p>
          <w:p w14:paraId="1C99910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(during_kol_amount - expected_kol_amount)</w:t>
            </w:r>
          </w:p>
          <w:p w14:paraId="58E1B45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/ NULLIF(kol_amount_change, 0)</w:t>
            </w:r>
          </w:p>
          <w:p w14:paraId="5C15CB5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    AS incremental_trade_share,</w:t>
            </w:r>
          </w:p>
          <w:p w14:paraId="4E85B06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</w:p>
          <w:p w14:paraId="6F37924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(during_kol_amount - expected_kol_amount) * fee_rate</w:t>
            </w:r>
          </w:p>
          <w:p w14:paraId="15ED2FE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    AS incremental_gross_fee,</w:t>
            </w:r>
          </w:p>
          <w:p w14:paraId="1EADD87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</w:p>
          <w:p w14:paraId="5C3A494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expected_kol_amount * fee_rate * 0.15</w:t>
            </w:r>
          </w:p>
          <w:p w14:paraId="61B3C5E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    AS expected_rebate,</w:t>
            </w:r>
          </w:p>
          <w:p w14:paraId="3578C5B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</w:p>
          <w:p w14:paraId="70ECB8F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during_kol_rebate</w:t>
            </w:r>
          </w:p>
          <w:p w14:paraId="04BBF82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- expected_kol_amount * fee_rate * 0.15</w:t>
            </w:r>
          </w:p>
          <w:p w14:paraId="14A5C00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    AS incremental_rebate_cost</w:t>
            </w:r>
          </w:p>
          <w:p w14:paraId="1769339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FROM calc_base</w:t>
            </w:r>
          </w:p>
          <w:p w14:paraId="63906D6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>)</w:t>
            </w:r>
          </w:p>
        </w:tc>
      </w:tr>
    </w:tbl>
    <w:p w14:paraId="4D1DED4E">
      <w:pPr>
        <w:spacing w:after="20"/>
        <w:rPr>
          <w:rFonts w:hint="eastAsia" w:ascii="微软雅黑" w:hAnsi="微软雅黑" w:eastAsia="微软雅黑" w:cs="微软雅黑"/>
        </w:rPr>
      </w:pPr>
    </w:p>
    <w:p w14:paraId="0EE1444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B.3 主分析与活动后延续结果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113E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6F8F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FA265A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>-- 5. 主分析与活动后延续结果统一输出</w:t>
            </w:r>
          </w:p>
          <w:p w14:paraId="18154B8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>SELECT</w:t>
            </w:r>
          </w:p>
          <w:p w14:paraId="64F0B86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retail_growth_rate,</w:t>
            </w:r>
          </w:p>
          <w:p w14:paraId="6DFA095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expected_kol_amount,</w:t>
            </w:r>
          </w:p>
          <w:p w14:paraId="49189D2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kol_amount_change,</w:t>
            </w:r>
          </w:p>
          <w:p w14:paraId="31B29C3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incremental_trade_amount,</w:t>
            </w:r>
          </w:p>
          <w:p w14:paraId="2376DD2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incremental_trade_share,</w:t>
            </w:r>
          </w:p>
          <w:p w14:paraId="3CC3D75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fee_rate,</w:t>
            </w:r>
          </w:p>
          <w:p w14:paraId="503D3A5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incremental_gross_fee,</w:t>
            </w:r>
          </w:p>
          <w:p w14:paraId="1A6521E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expected_rebate,</w:t>
            </w:r>
          </w:p>
          <w:p w14:paraId="0EA3704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incremental_rebate_cost,</w:t>
            </w:r>
          </w:p>
          <w:p w14:paraId="73CD2B6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incremental_gross_fee - incremental_rebate_cost</w:t>
            </w:r>
          </w:p>
          <w:p w14:paraId="3E386C2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AS incremental_net_profit,</w:t>
            </w:r>
          </w:p>
          <w:p w14:paraId="18CA384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incremental_gross_fee</w:t>
            </w:r>
          </w:p>
          <w:p w14:paraId="2B2287E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/ NULLIF(incremental_rebate_cost, 0)</w:t>
            </w:r>
          </w:p>
          <w:p w14:paraId="2B5C8FB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AS incremental_roas,</w:t>
            </w:r>
          </w:p>
          <w:p w14:paraId="46523BE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(incremental_gross_fee - incremental_rebate_cost)</w:t>
            </w:r>
          </w:p>
          <w:p w14:paraId="3459D4C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/ NULLIF(incremental_rebate_cost, 0)</w:t>
            </w:r>
          </w:p>
          <w:p w14:paraId="3AA0B66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AS incremental_roi,</w:t>
            </w:r>
          </w:p>
          <w:p w14:paraId="50F4380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</w:p>
          <w:p w14:paraId="4A86483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-- 活动后延续：规模、参与与人均</w:t>
            </w:r>
          </w:p>
          <w:p w14:paraId="232931C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before_kol_amount,</w:t>
            </w:r>
          </w:p>
          <w:p w14:paraId="3D08469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during_kol_amount,</w:t>
            </w:r>
          </w:p>
          <w:p w14:paraId="246591B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after_kol_amount,</w:t>
            </w:r>
          </w:p>
          <w:p w14:paraId="3D9B4B5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during_kol_amount / NULLIF(before_kol_amount, 0) - 1</w:t>
            </w:r>
          </w:p>
          <w:p w14:paraId="263BD52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AS during_trade_growth,</w:t>
            </w:r>
          </w:p>
          <w:p w14:paraId="18C30D7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after_kol_amount / NULLIF(before_kol_amount, 0) - 1</w:t>
            </w:r>
          </w:p>
          <w:p w14:paraId="79A406E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AS after_trade_growth,</w:t>
            </w:r>
          </w:p>
          <w:p w14:paraId="0FA27CB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</w:p>
          <w:p w14:paraId="30B7F24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before_kol_active_users,</w:t>
            </w:r>
          </w:p>
          <w:p w14:paraId="1171207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during_kol_active_users,</w:t>
            </w:r>
          </w:p>
          <w:p w14:paraId="39DF440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after_kol_active_users,</w:t>
            </w:r>
          </w:p>
          <w:p w14:paraId="1778D01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during_kol_active_users * 1.0</w:t>
            </w:r>
          </w:p>
          <w:p w14:paraId="7EE9206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/ NULLIF(before_kol_active_users, 0) - 1</w:t>
            </w:r>
          </w:p>
          <w:p w14:paraId="7E439E9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AS during_active_growth,</w:t>
            </w:r>
          </w:p>
          <w:p w14:paraId="21570B4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after_kol_active_users * 1.0</w:t>
            </w:r>
          </w:p>
          <w:p w14:paraId="3AF1809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/ NULLIF(before_kol_active_users, 0) - 1</w:t>
            </w:r>
          </w:p>
          <w:p w14:paraId="1EDFEE9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AS after_active_growth,</w:t>
            </w:r>
          </w:p>
          <w:p w14:paraId="17E78C1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</w:p>
          <w:p w14:paraId="31E3C64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before_kol_amount * 1.0 / NULLIF(before_kol_active_users, 0)</w:t>
            </w:r>
          </w:p>
          <w:p w14:paraId="78CE76F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AS before_avg_trade,</w:t>
            </w:r>
          </w:p>
          <w:p w14:paraId="5D1FF13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during_kol_amount * 1.0 / NULLIF(during_kol_active_users, 0)</w:t>
            </w:r>
          </w:p>
          <w:p w14:paraId="7C0E01E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AS during_avg_trade,</w:t>
            </w:r>
          </w:p>
          <w:p w14:paraId="0D8730A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after_kol_amount * 1.0 / NULLIF(after_kol_active_users, 0)</w:t>
            </w:r>
          </w:p>
          <w:p w14:paraId="3528489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AS after_avg_trade,</w:t>
            </w:r>
          </w:p>
          <w:p w14:paraId="7E9E627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(during_kol_amount * 1.0 / NULLIF(during_kol_active_users, 0))</w:t>
            </w:r>
          </w:p>
          <w:p w14:paraId="717D349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/ NULLIF(</w:t>
            </w:r>
          </w:p>
          <w:p w14:paraId="4EE93B1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    before_kol_amount * 1.0</w:t>
            </w:r>
          </w:p>
          <w:p w14:paraId="25A555C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    / NULLIF(before_kol_active_users, 0),</w:t>
            </w:r>
          </w:p>
          <w:p w14:paraId="33D0175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    0</w:t>
            </w:r>
          </w:p>
          <w:p w14:paraId="095D77E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) - 1 AS during_avg_trade_growth,</w:t>
            </w:r>
          </w:p>
          <w:p w14:paraId="60D3F4D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(after_kol_amount * 1.0 / NULLIF(after_kol_active_users, 0))</w:t>
            </w:r>
          </w:p>
          <w:p w14:paraId="594D3DF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/ NULLIF(</w:t>
            </w:r>
          </w:p>
          <w:p w14:paraId="698C677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    before_kol_amount * 1.0</w:t>
            </w:r>
          </w:p>
          <w:p w14:paraId="66B67C89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    / NULLIF(before_kol_active_users, 0),</w:t>
            </w:r>
          </w:p>
          <w:p w14:paraId="48629A8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    0</w:t>
            </w:r>
          </w:p>
          <w:p w14:paraId="744D587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 xml:space="preserve">        ) - 1 AS after_avg_trade_growth</w:t>
            </w:r>
          </w:p>
          <w:p w14:paraId="473B59B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4292F"/>
                <w:sz w:val="14"/>
              </w:rPr>
              <w:t>FROM calc;</w:t>
            </w:r>
          </w:p>
        </w:tc>
      </w:tr>
    </w:tbl>
    <w:p w14:paraId="60DEA52F">
      <w:pPr>
        <w:spacing w:after="20"/>
        <w:rPr>
          <w:rFonts w:hint="eastAsia" w:ascii="微软雅黑" w:hAnsi="微软雅黑" w:eastAsia="微软雅黑" w:cs="微软雅黑"/>
        </w:rPr>
      </w:pPr>
    </w:p>
    <w:p w14:paraId="4A6D15EF">
      <w:pPr>
        <w:spacing w:after="20"/>
        <w:rPr>
          <w:rFonts w:hint="eastAsia" w:ascii="微软雅黑" w:hAnsi="微软雅黑" w:eastAsia="微软雅黑" w:cs="微软雅黑"/>
        </w:rPr>
      </w:pPr>
    </w:p>
    <w:sectPr>
      <w:headerReference r:id="rId5" w:type="default"/>
      <w:footerReference r:id="rId6" w:type="default"/>
      <w:pgSz w:w="12240" w:h="15840"/>
      <w:pgMar w:top="1181" w:right="1238" w:bottom="1037" w:left="1238" w:header="504" w:footer="49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49EBA">
    <w:pPr>
      <w:pStyle w:val="24"/>
      <w:jc w:val="right"/>
    </w:pPr>
    <w:r>
      <w:rPr>
        <w:rFonts w:ascii="微软雅黑" w:hAnsi="微软雅黑" w:eastAsia="微软雅黑"/>
        <w:color w:val="667085"/>
        <w:sz w:val="17"/>
      </w:rPr>
      <w:t xml:space="preserve">第 </w:t>
    </w:r>
    <w:r>
      <w:rPr>
        <w:rFonts w:ascii="微软雅黑" w:hAnsi="微软雅黑" w:eastAsia="微软雅黑"/>
        <w:color w:val="667085"/>
        <w:sz w:val="17"/>
      </w:rPr>
      <w:fldChar w:fldCharType="begin"/>
    </w:r>
    <w:r>
      <w:rPr>
        <w:rFonts w:ascii="微软雅黑" w:hAnsi="微软雅黑" w:eastAsia="微软雅黑"/>
        <w:color w:val="667085"/>
        <w:sz w:val="17"/>
      </w:rPr>
      <w:instrText xml:space="preserve"> PAGE </w:instrText>
    </w:r>
    <w:r>
      <w:rPr>
        <w:rFonts w:ascii="微软雅黑" w:hAnsi="微软雅黑" w:eastAsia="微软雅黑"/>
        <w:color w:val="667085"/>
        <w:sz w:val="17"/>
      </w:rPr>
      <w:fldChar w:fldCharType="end"/>
    </w:r>
    <w:r>
      <w:rPr>
        <w:rFonts w:ascii="微软雅黑" w:hAnsi="微软雅黑" w:eastAsia="微软雅黑"/>
        <w:color w:val="667085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B01146">
    <w:pPr>
      <w:pStyle w:val="25"/>
      <w:jc w:val="right"/>
    </w:pPr>
    <w:r>
      <w:rPr>
        <w:rFonts w:ascii="微软雅黑" w:hAnsi="微软雅黑" w:eastAsia="微软雅黑"/>
        <w:color w:val="667085"/>
        <w:sz w:val="16"/>
      </w:rPr>
      <w:t>K交易所 · KOL返佣活动增量ROI分析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AA62A4"/>
    <w:multiLevelType w:val="singleLevel"/>
    <w:tmpl w:val="C1AA62A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8C0F15"/>
    <w:rsid w:val="1638549E"/>
    <w:rsid w:val="272C6959"/>
    <w:rsid w:val="30E65DCB"/>
    <w:rsid w:val="3CBB635D"/>
    <w:rsid w:val="495A2B60"/>
    <w:rsid w:val="4B876873"/>
    <w:rsid w:val="559E63C4"/>
    <w:rsid w:val="6F625916"/>
    <w:rsid w:val="73374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微软雅黑" w:hAnsi="微软雅黑" w:eastAsia="微软雅黑" w:cstheme="minorBidi"/>
      <w:color w:val="1F2937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2E75B6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40" w:after="60"/>
      <w:outlineLvl w:val="2"/>
    </w:pPr>
    <w:rPr>
      <w:rFonts w:asciiTheme="majorHAnsi" w:hAnsiTheme="majorHAnsi" w:eastAsiaTheme="majorEastAsia" w:cstheme="majorBidi"/>
      <w:b/>
      <w:bCs/>
      <w:color w:val="17365D"/>
      <w:sz w:val="22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80" w:line="259" w:lineRule="auto"/>
      <w:contextualSpacing/>
    </w:pPr>
    <w:rPr>
      <w:rFonts w:ascii="微软雅黑" w:hAnsi="微软雅黑" w:eastAsia="微软雅黑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微软雅黑" w:hAnsi="微软雅黑" w:eastAsia="微软雅黑"/>
      <w:b/>
      <w:bCs/>
      <w:color w:val="667085"/>
      <w:sz w:val="17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259" w:lineRule="auto"/>
      <w:contextualSpacing/>
    </w:pPr>
    <w:rPr>
      <w:rFonts w:ascii="微软雅黑" w:hAnsi="微软雅黑" w:eastAsia="微软雅黑"/>
      <w:sz w:val="20"/>
    </w:r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spacing w:after="80" w:line="259" w:lineRule="auto"/>
      <w:contextualSpacing/>
    </w:pPr>
    <w:rPr>
      <w:rFonts w:ascii="微软雅黑" w:hAnsi="微软雅黑" w:eastAsia="微软雅黑"/>
      <w:sz w:val="20"/>
    </w:r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3440</Words>
  <Characters>7554</Characters>
  <Lines>0</Lines>
  <Paragraphs>0</Paragraphs>
  <TotalTime>63</TotalTime>
  <ScaleCrop>false</ScaleCrop>
  <LinksUpToDate>false</LinksUpToDate>
  <CharactersWithSpaces>8995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数据分析项目</dc:creator>
  <dc:description>基于用户提供的分析草稿与数据重构；版式参考MTU趋势下滑归因分析报告。</dc:description>
  <cp:keywords>KOL, 返佣活动, 增量分析, ROI, 留存, SQL, BI</cp:keywords>
  <cp:lastModifiedBy>黄羊</cp:lastModifiedBy>
  <dcterms:modified xsi:type="dcterms:W3CDTF">2026-08-24T13:27:54Z</dcterms:modified>
  <dc:subject>K交易所KOL返佣活动效果、真实增量、投入产出与活动后留存评估</dc:subject>
  <dc:title>KOL返佣活动增量ROI分析报告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eyJoZGlkIjoiNDUwMTFkMDI3ZjBmZjczM2Q3M2EwOGI5M2VjYzUzMDkiLCJ1c2VySWQiOiIzMjAzNjc2MjYifQ==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5C4DE4C33C844A89B2D489209E27CF23_13</vt:lpwstr>
  </property>
</Properties>
</file>