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Microsoft YaHei" w:hAnsi="Microsoft YaHei" w:eastAsia="微软雅黑"/>
          <w:b/>
          <w:color w:val="C18C24"/>
          <w:sz w:val="22"/>
        </w:rPr>
        <w:t>K交易所 · 业务分析报告</w:t>
      </w:r>
    </w:p>
    <w:p>
      <w:pPr>
        <w:spacing w:before="200" w:after="160"/>
        <w:jc w:val="center"/>
      </w:pPr>
      <w:r>
        <w:rPr>
          <w:rFonts w:ascii="Microsoft YaHei" w:hAnsi="Microsoft YaHei" w:eastAsia="微软雅黑"/>
          <w:b/>
          <w:color w:val="17365D"/>
          <w:sz w:val="56"/>
        </w:rPr>
        <w:t>MTU趋势下滑归因分析报告</w:t>
      </w:r>
    </w:p>
    <w:p>
      <w:pPr>
        <w:spacing w:after="680"/>
        <w:jc w:val="center"/>
      </w:pPr>
      <w:r>
        <w:rPr>
          <w:rFonts w:ascii="Microsoft YaHei" w:hAnsi="Microsoft YaHei" w:eastAsia="微软雅黑"/>
          <w:color w:val="2E75B6"/>
          <w:sz w:val="26"/>
        </w:rPr>
        <w:t>W14-W22 · 异常定位、客群归因与三个月行动方案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FF4CE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微软雅黑"/>
                <w:b/>
                <w:color w:val="667085"/>
                <w:sz w:val="16"/>
              </w:rPr>
              <w:t>流失侧预警</w:t>
            </w:r>
          </w:p>
          <w:p>
            <w:pPr>
              <w:spacing w:after="20"/>
              <w:jc w:val="center"/>
            </w:pPr>
            <w:r>
              <w:rPr>
                <w:rFonts w:ascii="Microsoft YaHei" w:hAnsi="Microsoft YaHei" w:eastAsia="微软雅黑"/>
                <w:b/>
                <w:color w:val="C18C24"/>
                <w:sz w:val="34"/>
              </w:rPr>
              <w:t>W16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color w:val="667085"/>
                <w:sz w:val="15"/>
              </w:rPr>
              <w:t>转沉默环比 +49.4%</w:t>
            </w:r>
          </w:p>
        </w:tc>
        <w:tc>
          <w:tcPr>
            <w:tcW w:type="dxa" w:w="312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DECEC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微软雅黑"/>
                <w:b/>
                <w:color w:val="667085"/>
                <w:sz w:val="16"/>
              </w:rPr>
              <w:t>核心恶化拐点</w:t>
            </w:r>
          </w:p>
          <w:p>
            <w:pPr>
              <w:spacing w:after="20"/>
              <w:jc w:val="center"/>
            </w:pPr>
            <w:r>
              <w:rPr>
                <w:rFonts w:ascii="Microsoft YaHei" w:hAnsi="Microsoft YaHei" w:eastAsia="微软雅黑"/>
                <w:b/>
                <w:color w:val="C00000"/>
                <w:sz w:val="34"/>
              </w:rPr>
              <w:t>W17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color w:val="667085"/>
                <w:sz w:val="15"/>
              </w:rPr>
              <w:t>MTU周环比 -4.95%</w:t>
            </w:r>
          </w:p>
        </w:tc>
        <w:tc>
          <w:tcPr>
            <w:tcW w:type="dxa" w:w="312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DDEB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微软雅黑"/>
                <w:b/>
                <w:color w:val="667085"/>
                <w:sz w:val="16"/>
              </w:rPr>
              <w:t>重点风险客群</w:t>
            </w:r>
          </w:p>
          <w:p>
            <w:pPr>
              <w:spacing w:after="20"/>
              <w:jc w:val="center"/>
            </w:pPr>
            <w:r>
              <w:rPr>
                <w:rFonts w:ascii="Microsoft YaHei" w:hAnsi="Microsoft YaHei" w:eastAsia="微软雅黑"/>
                <w:b/>
                <w:color w:val="1F4E79"/>
                <w:sz w:val="34"/>
              </w:rPr>
              <w:t>D国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color w:val="667085"/>
                <w:sz w:val="15"/>
              </w:rPr>
              <w:t>重度用户 × 存量老客</w:t>
            </w:r>
          </w:p>
        </w:tc>
      </w:tr>
    </w:tbl>
    <w:p>
      <w:pPr>
        <w:spacing w:after="20"/>
      </w:pPr>
    </w:p>
    <w:p>
      <w:pPr>
        <w:spacing w:before="1000"/>
        <w:jc w:val="center"/>
      </w:pPr>
      <w:r>
        <w:rPr>
          <w:rFonts w:ascii="Microsoft YaHei" w:hAnsi="Microsoft YaHei" w:eastAsia="微软雅黑"/>
          <w:b/>
          <w:color w:val="667085"/>
          <w:sz w:val="19"/>
        </w:rPr>
        <w:t>报告定位</w:t>
      </w:r>
    </w:p>
    <w:p>
      <w:pPr>
        <w:spacing w:line="276" w:lineRule="auto"/>
        <w:ind w:left="864" w:right="864"/>
        <w:jc w:val="center"/>
      </w:pPr>
      <w:r>
        <w:rPr>
          <w:rFonts w:ascii="Microsoft YaHei" w:hAnsi="Microsoft YaHei" w:eastAsia="微软雅黑"/>
          <w:color w:val="667085"/>
          <w:sz w:val="20"/>
        </w:rPr>
        <w:t>在不改变原分析思路与已验证数据的前提下，将过程性分析整理为可直接提交、可用于后续BI看板建设的正式报告。</w:t>
      </w:r>
    </w:p>
    <w:p>
      <w:pPr>
        <w:spacing w:before="840"/>
        <w:jc w:val="center"/>
      </w:pPr>
      <w:r>
        <w:rPr>
          <w:rFonts w:ascii="Microsoft YaHei" w:hAnsi="Microsoft YaHei" w:eastAsia="微软雅黑"/>
          <w:color w:val="667085"/>
          <w:sz w:val="18"/>
        </w:rPr>
        <w:t>数据范围：2026-03-30 至 2026-05-31（W14-W22）</w:t>
      </w:r>
    </w:p>
    <w:p>
      <w:r>
        <w:br w:type="page"/>
      </w:r>
    </w:p>
    <w:p>
      <w:pPr>
        <w:spacing w:before="1600"/>
        <w:jc w:val="left"/>
      </w:pPr>
      <w:r>
        <w:rPr>
          <w:rFonts w:ascii="Microsoft YaHei" w:hAnsi="Microsoft YaHei" w:eastAsia="微软雅黑"/>
          <w:b/>
          <w:color w:val="17365D"/>
          <w:sz w:val="48"/>
        </w:rPr>
        <w:t>目录</w:t>
      </w:r>
    </w:p>
    <w:p>
      <w:pPr>
        <w:spacing w:before="20" w:after="140"/>
      </w:pPr>
      <w:r>
        <w:rPr>
          <w:rFonts w:ascii="Microsoft YaHei" w:hAnsi="Microsoft YaHei" w:eastAsia="微软雅黑"/>
          <w:b/>
          <w:color w:val="C18C24"/>
          <w:sz w:val="20"/>
        </w:rPr>
        <w:t>01</w:t>
      </w:r>
      <w:r>
        <w:rPr>
          <w:rFonts w:ascii="Microsoft YaHei" w:hAnsi="Microsoft YaHei" w:eastAsia="微软雅黑"/>
          <w:color w:val="1F2937"/>
          <w:sz w:val="22"/>
        </w:rPr>
        <w:t xml:space="preserve">  执行摘要</w:t>
      </w:r>
    </w:p>
    <w:p>
      <w:pPr>
        <w:spacing w:before="20" w:after="140"/>
      </w:pPr>
      <w:r>
        <w:rPr>
          <w:rFonts w:ascii="Microsoft YaHei" w:hAnsi="Microsoft YaHei" w:eastAsia="微软雅黑"/>
          <w:b/>
          <w:color w:val="C18C24"/>
          <w:sz w:val="20"/>
        </w:rPr>
        <w:t>02</w:t>
      </w:r>
      <w:r>
        <w:rPr>
          <w:rFonts w:ascii="Microsoft YaHei" w:hAnsi="Microsoft YaHei" w:eastAsia="微软雅黑"/>
          <w:color w:val="1F2937"/>
          <w:sz w:val="22"/>
        </w:rPr>
        <w:t xml:space="preserve">  分析背景、数据口径与方法</w:t>
      </w:r>
    </w:p>
    <w:p>
      <w:pPr>
        <w:spacing w:before="20" w:after="140"/>
      </w:pPr>
      <w:r>
        <w:rPr>
          <w:rFonts w:ascii="Microsoft YaHei" w:hAnsi="Microsoft YaHei" w:eastAsia="微软雅黑"/>
          <w:b/>
          <w:color w:val="C18C24"/>
          <w:sz w:val="20"/>
        </w:rPr>
        <w:t>03</w:t>
      </w:r>
      <w:r>
        <w:rPr>
          <w:rFonts w:ascii="Microsoft YaHei" w:hAnsi="Microsoft YaHei" w:eastAsia="微软雅黑"/>
          <w:color w:val="1F2937"/>
          <w:sz w:val="22"/>
        </w:rPr>
        <w:t xml:space="preserve">  MTU异常定位</w:t>
      </w:r>
    </w:p>
    <w:p>
      <w:pPr>
        <w:spacing w:before="20" w:after="140"/>
      </w:pPr>
      <w:r>
        <w:rPr>
          <w:rFonts w:ascii="Microsoft YaHei" w:hAnsi="Microsoft YaHei" w:eastAsia="微软雅黑"/>
          <w:b/>
          <w:color w:val="C18C24"/>
          <w:sz w:val="20"/>
        </w:rPr>
        <w:t>04</w:t>
      </w:r>
      <w:r>
        <w:rPr>
          <w:rFonts w:ascii="Microsoft YaHei" w:hAnsi="Microsoft YaHei" w:eastAsia="微软雅黑"/>
          <w:color w:val="1F2937"/>
          <w:sz w:val="22"/>
        </w:rPr>
        <w:t xml:space="preserve">  MTU变化拆解与流入／流失归因</w:t>
      </w:r>
    </w:p>
    <w:p>
      <w:pPr>
        <w:spacing w:before="20" w:after="140"/>
      </w:pPr>
      <w:r>
        <w:rPr>
          <w:rFonts w:ascii="Microsoft YaHei" w:hAnsi="Microsoft YaHei" w:eastAsia="微软雅黑"/>
          <w:b/>
          <w:color w:val="C18C24"/>
          <w:sz w:val="20"/>
        </w:rPr>
        <w:t>05</w:t>
      </w:r>
      <w:r>
        <w:rPr>
          <w:rFonts w:ascii="Microsoft YaHei" w:hAnsi="Microsoft YaHei" w:eastAsia="微软雅黑"/>
          <w:color w:val="1F2937"/>
          <w:sz w:val="22"/>
        </w:rPr>
        <w:t xml:space="preserve">  核心流失客群定位</w:t>
      </w:r>
    </w:p>
    <w:p>
      <w:pPr>
        <w:spacing w:before="20" w:after="140"/>
      </w:pPr>
      <w:r>
        <w:rPr>
          <w:rFonts w:ascii="Microsoft YaHei" w:hAnsi="Microsoft YaHei" w:eastAsia="微软雅黑"/>
          <w:b/>
          <w:color w:val="C18C24"/>
          <w:sz w:val="20"/>
        </w:rPr>
        <w:t>06</w:t>
      </w:r>
      <w:r>
        <w:rPr>
          <w:rFonts w:ascii="Microsoft YaHei" w:hAnsi="Microsoft YaHei" w:eastAsia="微软雅黑"/>
          <w:color w:val="1F2937"/>
          <w:sz w:val="22"/>
        </w:rPr>
        <w:t xml:space="preserve">  核心洞察</w:t>
      </w:r>
    </w:p>
    <w:p>
      <w:pPr>
        <w:spacing w:before="20" w:after="140"/>
      </w:pPr>
      <w:r>
        <w:rPr>
          <w:rFonts w:ascii="Microsoft YaHei" w:hAnsi="Microsoft YaHei" w:eastAsia="微软雅黑"/>
          <w:b/>
          <w:color w:val="C18C24"/>
          <w:sz w:val="20"/>
        </w:rPr>
        <w:t>07</w:t>
      </w:r>
      <w:r>
        <w:rPr>
          <w:rFonts w:ascii="Microsoft YaHei" w:hAnsi="Microsoft YaHei" w:eastAsia="微软雅黑"/>
          <w:color w:val="1F2937"/>
          <w:sz w:val="22"/>
        </w:rPr>
        <w:t xml:space="preserve">  业务建议</w:t>
      </w:r>
    </w:p>
    <w:p>
      <w:pPr>
        <w:spacing w:before="20" w:after="140"/>
      </w:pPr>
      <w:r>
        <w:rPr>
          <w:rFonts w:ascii="Microsoft YaHei" w:hAnsi="Microsoft YaHei" w:eastAsia="微软雅黑"/>
          <w:b/>
          <w:color w:val="C18C24"/>
          <w:sz w:val="20"/>
        </w:rPr>
        <w:t>08</w:t>
      </w:r>
      <w:r>
        <w:rPr>
          <w:rFonts w:ascii="Microsoft YaHei" w:hAnsi="Microsoft YaHei" w:eastAsia="微软雅黑"/>
          <w:color w:val="1F2937"/>
          <w:sz w:val="22"/>
        </w:rPr>
        <w:t xml:space="preserve">  MTU预警与异常处置机制</w:t>
      </w:r>
    </w:p>
    <w:p>
      <w:pPr>
        <w:spacing w:before="20" w:after="140"/>
      </w:pPr>
      <w:r>
        <w:rPr>
          <w:rFonts w:ascii="Microsoft YaHei" w:hAnsi="Microsoft YaHei" w:eastAsia="微软雅黑"/>
          <w:b/>
          <w:color w:val="C18C24"/>
          <w:sz w:val="20"/>
        </w:rPr>
        <w:t>09</w:t>
      </w:r>
      <w:r>
        <w:rPr>
          <w:rFonts w:ascii="Microsoft YaHei" w:hAnsi="Microsoft YaHei" w:eastAsia="微软雅黑"/>
          <w:color w:val="1F2937"/>
          <w:sz w:val="22"/>
        </w:rPr>
        <w:t xml:space="preserve">  三个月行动计划</w:t>
      </w:r>
    </w:p>
    <w:p>
      <w:pPr>
        <w:spacing w:before="20" w:after="140"/>
      </w:pPr>
      <w:r>
        <w:rPr>
          <w:rFonts w:ascii="Microsoft YaHei" w:hAnsi="Microsoft YaHei" w:eastAsia="微软雅黑"/>
          <w:b/>
          <w:color w:val="C18C24"/>
          <w:sz w:val="20"/>
        </w:rPr>
        <w:t>10</w:t>
      </w:r>
      <w:r>
        <w:rPr>
          <w:rFonts w:ascii="Microsoft YaHei" w:hAnsi="Microsoft YaHei" w:eastAsia="微软雅黑"/>
          <w:color w:val="1F2937"/>
          <w:sz w:val="22"/>
        </w:rPr>
        <w:t xml:space="preserve">  BI看板指标建议</w:t>
      </w:r>
    </w:p>
    <w:p>
      <w:pPr>
        <w:spacing w:before="20" w:after="140"/>
      </w:pPr>
      <w:r>
        <w:rPr>
          <w:rFonts w:ascii="Microsoft YaHei" w:hAnsi="Microsoft YaHei" w:eastAsia="微软雅黑"/>
          <w:b/>
          <w:color w:val="C18C24"/>
          <w:sz w:val="20"/>
        </w:rPr>
        <w:t>附录</w:t>
      </w:r>
      <w:r>
        <w:rPr>
          <w:rFonts w:ascii="Microsoft YaHei" w:hAnsi="Microsoft YaHei" w:eastAsia="微软雅黑"/>
          <w:color w:val="1F2937"/>
          <w:sz w:val="22"/>
        </w:rPr>
        <w:t xml:space="preserve">  指标口径与核心SQL</w:t>
      </w:r>
    </w:p>
    <w:p>
      <w:r>
        <w:br w:type="page"/>
      </w:r>
    </w:p>
    <w:p>
      <w:pPr>
        <w:pStyle w:val="Heading1"/>
      </w:pPr>
      <w:r>
        <w:t>1. 执行摘要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DECEC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C00000"/>
                <w:sz w:val="20"/>
              </w:rPr>
              <w:t>核心结论：</w:t>
            </w:r>
            <w:r>
              <w:rPr>
                <w:rFonts w:ascii="Microsoft YaHei" w:hAnsi="Microsoft YaHei" w:eastAsia="微软雅黑"/>
                <w:color w:val="1F2937"/>
                <w:sz w:val="20"/>
              </w:rPr>
              <w:t>W16已出现流失侧预警信号，W17成为MTU核心恶化拐点。W18较W17边际缓解，但流入仍不足以覆盖转沉默，用户池继续净流出。</w:t>
            </w:r>
          </w:p>
        </w:tc>
      </w:tr>
    </w:tbl>
    <w:p>
      <w:pPr>
        <w:spacing w:after="20"/>
      </w:pP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本报告围绕MTU趋势性下滑问题，依次从异常时点、用户池变动、用户层级、国家和注册批次进行拆解。W17的MTU由W16的20.39万下降至19.38万，周环比降幅由-1.45%扩大至-4.95%；W18进一步降至18.50万，周环比为-4.54%。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在业务解释框架下，MTU变化可近似拆解为“首交流入 + 召回流入 - 转沉默 + ε”。W16至W17，首交增加5,380人形成正向抵消，但召回减少3,828人、转沉默增加10,109人，使理论净流量进一步恶化8,557人。由此可见，本轮下滑的主要矛盾不是单纯拉新不足，而是转沉默激增与召回下降共同造成的流失侧压力。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沿tier、country和register_week进一步下钻后，异常增量主要集中在重度用户；在20%明细样本中，D国既有最大的W17重度转沉默规模，也有最大的W16至W17新增转沉默量，且该客群中约84%为W14前注册的存量用户。因此，当前优先止血与召回对象可收敛为“D国 × 重度用户 × 存量老客”。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4CE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C18C24"/>
                <w:sz w:val="20"/>
              </w:rPr>
              <w:t>重要口径：</w:t>
            </w:r>
            <w:r>
              <w:rPr>
                <w:rFonts w:ascii="Microsoft YaHei" w:hAnsi="Microsoft YaHei" w:eastAsia="微软雅黑"/>
                <w:color w:val="1F2937"/>
                <w:sz w:val="20"/>
              </w:rPr>
              <w:t>user_event_detail为全平台20%明细样本。样本中的交易金额仅用于比较用户价值特征，不代表全平台交易损失，也不在本报告中按5倍直接外推。</w:t>
            </w:r>
          </w:p>
        </w:tc>
      </w:tr>
    </w:tbl>
    <w:p>
      <w:pPr>
        <w:spacing w:after="20"/>
      </w:pP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建议按照三条路径推进：一是针对D国高价值存量重度用户止血并同步开展根因排查；二是对已流失高价值用户实施分层召回；三是完善MTU前置预警和异常处置闭环。三项工作按“0-2周立即止血、第1个月召回验证、第2-3个月机制固化”的节奏推进。</w:t>
      </w:r>
    </w:p>
    <w:p>
      <w:pPr>
        <w:pStyle w:val="Heading1"/>
      </w:pPr>
      <w:r>
        <w:t>2. 分析背景、数据口径与方法</w:t>
      </w:r>
    </w:p>
    <w:p>
      <w:pPr>
        <w:pStyle w:val="Heading2"/>
      </w:pPr>
      <w:r>
        <w:t>2.1 分析背景与目标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本报告旨在回答四个业务问题：MTU从什么时候开始异常；下滑主要来自用户流入不足还是流失增加；异常集中在哪类用户；业务应如何止血、召回并避免类似问题再次发生。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本报告所称“归因”主要指用户状态变化和客群结构层面的归因，即识别MTU变化由哪类用户流动推动。现有数据能够确认“何时恶化、由哪类状态变化推动、集中于哪类客群”，但不能直接证明产品、运营、渠道或用户体验层面的最终根因；相关内容在建议中作为待验证方向，而非既定事实。</w:t>
      </w:r>
    </w:p>
    <w:p>
      <w:pPr>
        <w:pStyle w:val="Heading2"/>
      </w:pPr>
      <w:r>
        <w:t>2.2 数据范围与口径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650"/>
        <w:gridCol w:w="3000"/>
        <w:gridCol w:w="281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数据表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覆盖口径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主要粒度</w:t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本报告用途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daily_funnel</w:t>
            </w:r>
          </w:p>
        </w:tc>
        <w:tc>
          <w:tcPr>
            <w:tcW w:type="dxa" w:w="1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全量汇总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W14-W22每日首交、召回、转沉默及周末MTU快照</w:t>
            </w:r>
          </w:p>
        </w:tc>
        <w:tc>
          <w:tcPr>
            <w:tcW w:type="dxa" w:w="28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趋势定位、流入/流出拆解</w:t>
            </w:r>
          </w:p>
        </w:tc>
      </w:tr>
      <w:tr>
        <w:trPr>
          <w:cantSplit/>
        </w:trPr>
        <w:tc>
          <w:tcPr>
            <w:tcW w:type="dxa" w:w="190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weekly_tier_events</w:t>
            </w:r>
          </w:p>
        </w:tc>
        <w:tc>
          <w:tcPr>
            <w:tcW w:type="dxa" w:w="165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全量分层汇总</w:t>
            </w:r>
          </w:p>
        </w:tc>
        <w:tc>
          <w:tcPr>
            <w:tcW w:type="dxa" w:w="300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周 × tier × event</w:t>
            </w:r>
          </w:p>
        </w:tc>
        <w:tc>
          <w:tcPr>
            <w:tcW w:type="dxa" w:w="281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tier规模与异常增量判断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weeks_dim</w:t>
            </w:r>
          </w:p>
        </w:tc>
        <w:tc>
          <w:tcPr>
            <w:tcW w:type="dxa" w:w="1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时间维度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W14-W22对应起止日期</w:t>
            </w:r>
          </w:p>
        </w:tc>
        <w:tc>
          <w:tcPr>
            <w:tcW w:type="dxa" w:w="28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周次与自然日期映射</w:t>
            </w:r>
          </w:p>
        </w:tc>
      </w:tr>
      <w:tr>
        <w:trPr>
          <w:cantSplit/>
        </w:trPr>
        <w:tc>
          <w:tcPr>
            <w:tcW w:type="dxa" w:w="190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user_event_detail</w:t>
            </w:r>
          </w:p>
        </w:tc>
        <w:tc>
          <w:tcPr>
            <w:tcW w:type="dxa" w:w="165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20%明细样本</w:t>
            </w:r>
          </w:p>
        </w:tc>
        <w:tc>
          <w:tcPr>
            <w:tcW w:type="dxa" w:w="300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一名用户在一周的一次状态变化事件</w:t>
            </w:r>
          </w:p>
        </w:tc>
        <w:tc>
          <w:tcPr>
            <w:tcW w:type="dxa" w:w="281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客群结构、国家、注册周及价值特征</w:t>
            </w:r>
          </w:p>
        </w:tc>
      </w:tr>
    </w:tbl>
    <w:p>
      <w:pPr>
        <w:spacing w:after="20"/>
      </w:pP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MTU以每周末快照衡量，单位为“万用户”；周环比（WoW）=（本周MTU - 上周MTU）/ 上周MTU。首交、召回、转沉默的状态定义沿用原数据字段与原分析SQL口径。</w:t>
      </w:r>
    </w:p>
    <w:p>
      <w:pPr>
        <w:pStyle w:val="ListBullet"/>
        <w:spacing w:after="80" w:line="259" w:lineRule="auto"/>
      </w:pPr>
      <w:r>
        <w:rPr>
          <w:rFonts w:ascii="Microsoft YaHei" w:hAnsi="Microsoft YaHei" w:eastAsia="微软雅黑"/>
          <w:color w:val="1F2937"/>
        </w:rPr>
        <w:t>全量规模判断以daily_funnel与weekly_tier_events为依据；明细样本不替代全量口径。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667085"/>
                <w:sz w:val="20"/>
              </w:rPr>
              <w:t>跨表口径边界：</w:t>
            </w:r>
            <w:r>
              <w:rPr>
                <w:rFonts w:ascii="Microsoft YaHei" w:hAnsi="Microsoft YaHei" w:eastAsia="微软雅黑"/>
                <w:color w:val="1F2937"/>
                <w:sz w:val="20"/>
              </w:rPr>
              <w:t>weekly_tier_events与20%明细样本的约5倍规模基本一致，但与daily_funnel的漏斗汇总口径未完全对账；例如W17转沉默分别为36,577人和38,744人。本报告以daily_funnel判断整体趋势和用户池净流量，以weekly_tier_events判断各tier的相对结构与异常增量；不跨表混用分母，也不据此强行计算结构占比。</w:t>
            </w:r>
          </w:p>
        </w:tc>
      </w:tr>
    </w:tbl>
    <w:p>
      <w:pPr>
        <w:spacing w:after="20"/>
      </w:pPr>
    </w:p>
    <w:p>
      <w:pPr>
        <w:pStyle w:val="ListBullet"/>
        <w:spacing w:after="80" w:line="259" w:lineRule="auto"/>
      </w:pPr>
      <w:r>
        <w:rPr>
          <w:rFonts w:ascii="Microsoft YaHei" w:hAnsi="Microsoft YaHei" w:eastAsia="微软雅黑"/>
          <w:color w:val="1F2937"/>
        </w:rPr>
        <w:t>user_event_detail共92,399条事件记录、31,183位用户，为全平台20%抽样；样本内可进行客群结构和相对价值比较。</w:t>
      </w:r>
    </w:p>
    <w:p>
      <w:pPr>
        <w:pStyle w:val="ListBullet"/>
        <w:spacing w:after="80" w:line="259" w:lineRule="auto"/>
      </w:pPr>
      <w:r>
        <w:rPr>
          <w:rFonts w:ascii="Microsoft YaHei" w:hAnsi="Microsoft YaHei" w:eastAsia="微软雅黑"/>
          <w:color w:val="1F2937"/>
        </w:rPr>
        <w:t>register_week='before'定义为W14前注册的存量用户；其余值代表W14-W22对应周注册用户。注册早只证明用户为存量用户，不等同于持续长期活跃。</w:t>
      </w:r>
    </w:p>
    <w:p>
      <w:pPr>
        <w:pStyle w:val="ListBullet"/>
        <w:spacing w:after="80" w:line="259" w:lineRule="auto"/>
      </w:pPr>
      <w:r>
        <w:rPr>
          <w:rFonts w:ascii="Microsoft YaHei" w:hAnsi="Microsoft YaHei" w:eastAsia="微软雅黑"/>
          <w:color w:val="1F2937"/>
        </w:rPr>
        <w:t>样本交易金额为该周该用户交易总额，仅用于价值特征，不表述为已确认损失或全平台损失。</w:t>
      </w:r>
    </w:p>
    <w:p>
      <w:pPr>
        <w:pStyle w:val="Heading2"/>
      </w:pPr>
      <w:r>
        <w:t>2.3 分析主线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DDEB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20"/>
              </w:rPr>
              <w:t>分析链路：</w:t>
            </w:r>
            <w:r>
              <w:rPr>
                <w:rFonts w:ascii="Microsoft YaHei" w:hAnsi="Microsoft YaHei" w:eastAsia="微软雅黑"/>
                <w:color w:val="1F2937"/>
                <w:sz w:val="20"/>
              </w:rPr>
              <w:t>定位W17拐点 → 构建MTU解释框架 → 判断流入/流失驱动 → tier下钻 → country下钻 → register_week识别存量老客 → 核心洞察 → 三条业务建议 → 预警机制 → 三个月行动计划。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MTU异常定位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319833"/>
            <wp:docPr id="1" name="Picture 1" descr="W14至W22周末MTU折线图：W16为流失侧预警点，W17为核心恶化拐点，W18仍净流出但边际缓解。" title="W14至W22周末MTU折线图：W16为流失侧预警点，W17为核心恶化拐点，W18仍净流出但边际缓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u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19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00"/>
        <w:jc w:val="center"/>
      </w:pPr>
      <w:r>
        <w:rPr>
          <w:rFonts w:ascii="Microsoft YaHei" w:hAnsi="Microsoft YaHei" w:eastAsia="微软雅黑"/>
          <w:color w:val="667085"/>
          <w:sz w:val="17"/>
        </w:rPr>
        <w:t>图1  W14-W22周末MTU趋势（单位：万用户）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2480"/>
        <w:gridCol w:w="268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周次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周末MTU（万）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周变化（万）</w:t>
            </w:r>
          </w:p>
        </w:tc>
        <w:tc>
          <w:tcPr>
            <w:tcW w:type="dxa" w:w="2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周环比（WoW）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W14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20.15</w:t>
            </w:r>
          </w:p>
        </w:tc>
        <w:tc>
          <w:tcPr>
            <w:tcW w:type="dxa" w:w="24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—</w:t>
            </w:r>
          </w:p>
        </w:tc>
        <w:tc>
          <w:tcPr>
            <w:tcW w:type="dxa" w:w="26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6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W15</w:t>
            </w:r>
          </w:p>
        </w:tc>
        <w:tc>
          <w:tcPr>
            <w:tcW w:type="dxa" w:w="26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20.69</w:t>
            </w:r>
          </w:p>
        </w:tc>
        <w:tc>
          <w:tcPr>
            <w:tcW w:type="dxa" w:w="248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+0.54</w:t>
            </w:r>
          </w:p>
        </w:tc>
        <w:tc>
          <w:tcPr>
            <w:tcW w:type="dxa" w:w="268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+2.68%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W16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20.39</w:t>
            </w:r>
          </w:p>
        </w:tc>
        <w:tc>
          <w:tcPr>
            <w:tcW w:type="dxa" w:w="24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-0.30</w:t>
            </w:r>
          </w:p>
        </w:tc>
        <w:tc>
          <w:tcPr>
            <w:tcW w:type="dxa" w:w="26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-1.45%</w:t>
            </w:r>
          </w:p>
        </w:tc>
      </w:tr>
      <w:tr>
        <w:trPr>
          <w:cantSplit/>
        </w:trPr>
        <w:tc>
          <w:tcPr>
            <w:tcW w:type="dxa" w:w="16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W17</w:t>
            </w:r>
          </w:p>
        </w:tc>
        <w:tc>
          <w:tcPr>
            <w:tcW w:type="dxa" w:w="26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19.38</w:t>
            </w:r>
          </w:p>
        </w:tc>
        <w:tc>
          <w:tcPr>
            <w:tcW w:type="dxa" w:w="248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-1.01</w:t>
            </w:r>
          </w:p>
        </w:tc>
        <w:tc>
          <w:tcPr>
            <w:tcW w:type="dxa" w:w="268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-4.95%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W18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18.50</w:t>
            </w:r>
          </w:p>
        </w:tc>
        <w:tc>
          <w:tcPr>
            <w:tcW w:type="dxa" w:w="24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-0.88</w:t>
            </w:r>
          </w:p>
        </w:tc>
        <w:tc>
          <w:tcPr>
            <w:tcW w:type="dxa" w:w="26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-4.54%</w:t>
            </w:r>
          </w:p>
        </w:tc>
      </w:tr>
      <w:tr>
        <w:trPr>
          <w:cantSplit/>
        </w:trPr>
        <w:tc>
          <w:tcPr>
            <w:tcW w:type="dxa" w:w="16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W19</w:t>
            </w:r>
          </w:p>
        </w:tc>
        <w:tc>
          <w:tcPr>
            <w:tcW w:type="dxa" w:w="26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18.83</w:t>
            </w:r>
          </w:p>
        </w:tc>
        <w:tc>
          <w:tcPr>
            <w:tcW w:type="dxa" w:w="248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+0.33</w:t>
            </w:r>
          </w:p>
        </w:tc>
        <w:tc>
          <w:tcPr>
            <w:tcW w:type="dxa" w:w="268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+1.78%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W20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18.68</w:t>
            </w:r>
          </w:p>
        </w:tc>
        <w:tc>
          <w:tcPr>
            <w:tcW w:type="dxa" w:w="24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-0.15</w:t>
            </w:r>
          </w:p>
        </w:tc>
        <w:tc>
          <w:tcPr>
            <w:tcW w:type="dxa" w:w="26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-0.80%</w:t>
            </w:r>
          </w:p>
        </w:tc>
      </w:tr>
      <w:tr>
        <w:trPr>
          <w:cantSplit/>
        </w:trPr>
        <w:tc>
          <w:tcPr>
            <w:tcW w:type="dxa" w:w="16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W21</w:t>
            </w:r>
          </w:p>
        </w:tc>
        <w:tc>
          <w:tcPr>
            <w:tcW w:type="dxa" w:w="26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18.91</w:t>
            </w:r>
          </w:p>
        </w:tc>
        <w:tc>
          <w:tcPr>
            <w:tcW w:type="dxa" w:w="248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+0.23</w:t>
            </w:r>
          </w:p>
        </w:tc>
        <w:tc>
          <w:tcPr>
            <w:tcW w:type="dxa" w:w="268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+1.23%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W22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18.82</w:t>
            </w:r>
          </w:p>
        </w:tc>
        <w:tc>
          <w:tcPr>
            <w:tcW w:type="dxa" w:w="24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-0.09</w:t>
            </w:r>
          </w:p>
        </w:tc>
        <w:tc>
          <w:tcPr>
            <w:tcW w:type="dxa" w:w="26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-0.48%</w:t>
            </w:r>
          </w:p>
        </w:tc>
      </w:tr>
    </w:tbl>
    <w:p>
      <w:pPr>
        <w:spacing w:after="20"/>
      </w:pPr>
    </w:p>
    <w:p>
      <w:pPr>
        <w:pStyle w:val="Heading2"/>
      </w:pPr>
      <w:r>
        <w:t>3.1 W17为核心恶化拐点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W14至W16整体在20万附近波动；W17 MTU由20.39万降至19.38万，单周减少1.01万，周环比降幅由W16的-1.45%扩大至-4.95%，是观察期内降幅骤然扩大的核心恶化拐点。W18继续下降0.88万，说明W17并非单周偶发波动。</w:t>
      </w:r>
    </w:p>
    <w:p>
      <w:pPr>
        <w:pStyle w:val="Heading2"/>
      </w:pPr>
      <w:r>
        <w:t>3.2 W18边际缓解，但仍未恢复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W18的净流出由W17的-12,977人收窄至-8,529人，恶化程度边际缓解；但当周总流入仍低于转沉默人数，MTU继续下降。因此应表述为“较W17有所缓解，但仍处于明显净流出状态”，不能表述为趋势已经反转。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4CE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C18C24"/>
                <w:sz w:val="20"/>
              </w:rPr>
              <w:t>阶段判断：</w:t>
            </w:r>
            <w:r>
              <w:rPr>
                <w:rFonts w:ascii="Microsoft YaHei" w:hAnsi="Microsoft YaHei" w:eastAsia="微软雅黑"/>
                <w:color w:val="1F2937"/>
                <w:sz w:val="20"/>
              </w:rPr>
              <w:t>W16是流失侧预警点，W17是MTU核心恶化拐点，W18是风险仍在持续但边际缓解的确认期。</w:t>
            </w:r>
          </w:p>
        </w:tc>
      </w:tr>
    </w:tbl>
    <w:p>
      <w:pPr>
        <w:spacing w:after="20"/>
      </w:pPr>
    </w:p>
    <w:p>
      <w:pPr>
        <w:pStyle w:val="Heading1"/>
      </w:pPr>
      <w:r>
        <w:t>4. MTU变化拆解与流入／流失归因</w:t>
      </w:r>
    </w:p>
    <w:p>
      <w:pPr>
        <w:pStyle w:val="Heading2"/>
      </w:pPr>
      <w:r>
        <w:t>4.1 构建MTU变化的业务解释框架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DDEB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20"/>
              </w:rPr>
              <w:t>业务解释公式：</w:t>
            </w:r>
            <w:r>
              <w:rPr>
                <w:rFonts w:ascii="Microsoft YaHei" w:hAnsi="Microsoft YaHei" w:eastAsia="微软雅黑"/>
                <w:color w:val="1F2937"/>
                <w:sz w:val="20"/>
              </w:rPr>
              <w:t>MTU变化 ≈ 首交流入 + 召回流入 - 转沉默 + ε</w:t>
            </w:r>
          </w:p>
        </w:tc>
      </w:tr>
    </w:tbl>
    <w:p>
      <w:pPr>
        <w:spacing w:after="20"/>
      </w:pP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其中，ε代表周末快照与事件统计在时点、状态判定或未纳入因素上的差异。实际MTU变化与上述理论拆解不能完全对账，因此该公式用于解释变化方向及各组成项的相对作用，不作为严格会计恒等式。</w:t>
      </w:r>
    </w:p>
    <w:p>
      <w:pPr>
        <w:pStyle w:val="Heading2"/>
      </w:pPr>
      <w:r>
        <w:t>4.2 W16-W18流入、流出与净流量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18893"/>
            <wp:docPr id="2" name="Picture 2" descr="W16至W18首交、召回和转沉默对比图；W17转沉默显著增加，净流出缺口扩大。" title="W16至W18首交、召回和转沉默对比图；W17转沉默显著增加，净流出缺口扩大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foc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1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00"/>
        <w:jc w:val="center"/>
      </w:pPr>
      <w:r>
        <w:rPr>
          <w:rFonts w:ascii="Microsoft YaHei" w:hAnsi="Microsoft YaHei" w:eastAsia="微软雅黑"/>
          <w:color w:val="667085"/>
          <w:sz w:val="17"/>
        </w:rPr>
        <w:t>图2  W16-W18首交、召回、转沉默及净流量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450"/>
        <w:gridCol w:w="1450"/>
        <w:gridCol w:w="1650"/>
        <w:gridCol w:w="1750"/>
        <w:gridCol w:w="1960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周次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首交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召回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总流入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转沉默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净流量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W16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9,555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14,660</w:t>
            </w:r>
          </w:p>
        </w:tc>
        <w:tc>
          <w:tcPr>
            <w:tcW w:type="dxa" w:w="1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24,215</w:t>
            </w:r>
          </w:p>
        </w:tc>
        <w:tc>
          <w:tcPr>
            <w:tcW w:type="dxa" w:w="17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28,635</w:t>
            </w:r>
          </w:p>
        </w:tc>
        <w:tc>
          <w:tcPr>
            <w:tcW w:type="dxa" w:w="19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-4,420</w:t>
            </w:r>
          </w:p>
        </w:tc>
      </w:tr>
      <w:tr>
        <w:trPr>
          <w:cantSplit/>
        </w:trPr>
        <w:tc>
          <w:tcPr>
            <w:tcW w:type="dxa" w:w="11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W17</w:t>
            </w:r>
          </w:p>
        </w:tc>
        <w:tc>
          <w:tcPr>
            <w:tcW w:type="dxa" w:w="145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14,935</w:t>
            </w:r>
          </w:p>
        </w:tc>
        <w:tc>
          <w:tcPr>
            <w:tcW w:type="dxa" w:w="145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10,832</w:t>
            </w:r>
          </w:p>
        </w:tc>
        <w:tc>
          <w:tcPr>
            <w:tcW w:type="dxa" w:w="165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25,767</w:t>
            </w:r>
          </w:p>
        </w:tc>
        <w:tc>
          <w:tcPr>
            <w:tcW w:type="dxa" w:w="175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38,744</w:t>
            </w:r>
          </w:p>
        </w:tc>
        <w:tc>
          <w:tcPr>
            <w:tcW w:type="dxa" w:w="196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-12,977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W18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12,268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10,225</w:t>
            </w:r>
          </w:p>
        </w:tc>
        <w:tc>
          <w:tcPr>
            <w:tcW w:type="dxa" w:w="16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22,493</w:t>
            </w:r>
          </w:p>
        </w:tc>
        <w:tc>
          <w:tcPr>
            <w:tcW w:type="dxa" w:w="17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31,022</w:t>
            </w:r>
          </w:p>
        </w:tc>
        <w:tc>
          <w:tcPr>
            <w:tcW w:type="dxa" w:w="19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-8,529</w:t>
            </w:r>
          </w:p>
        </w:tc>
      </w:tr>
    </w:tbl>
    <w:p>
      <w:pPr>
        <w:spacing w:after="20"/>
      </w:pP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W16用户池已由前期净流入转为净流出4,420人；W17净流出扩大至12,977人，为观察期内最严重的净缺口；W18虽然收窄至8,529人，但仍未回到健康状态。</w:t>
      </w:r>
    </w:p>
    <w:p>
      <w:pPr>
        <w:pStyle w:val="Heading2"/>
      </w:pPr>
      <w:r>
        <w:t>4.3 W16至W17：转沉默激增是首要负向因素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00"/>
        <w:gridCol w:w="1900"/>
        <w:gridCol w:w="40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组成项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W16→W17变化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作用方向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首交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+5,380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正向抵消</w:t>
            </w:r>
          </w:p>
        </w:tc>
        <w:tc>
          <w:tcPr>
            <w:tcW w:type="dxa" w:w="4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首交增长缓冲部分压力</w:t>
            </w:r>
          </w:p>
        </w:tc>
      </w:tr>
      <w:tr>
        <w:trPr>
          <w:cantSplit/>
        </w:trPr>
        <w:tc>
          <w:tcPr>
            <w:tcW w:type="dxa" w:w="15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召回</w:t>
            </w:r>
          </w:p>
        </w:tc>
        <w:tc>
          <w:tcPr>
            <w:tcW w:type="dxa" w:w="19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-3,828</w:t>
            </w:r>
          </w:p>
        </w:tc>
        <w:tc>
          <w:tcPr>
            <w:tcW w:type="dxa" w:w="19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负向作用</w:t>
            </w:r>
          </w:p>
        </w:tc>
        <w:tc>
          <w:tcPr>
            <w:tcW w:type="dxa" w:w="406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回流减弱，扩大用户池缺口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转沉默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+10,109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首要负向作用</w:t>
            </w:r>
          </w:p>
        </w:tc>
        <w:tc>
          <w:tcPr>
            <w:tcW w:type="dxa" w:w="4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因公式中为减项，增加会直接扩大净流出</w:t>
            </w:r>
          </w:p>
        </w:tc>
      </w:tr>
      <w:tr>
        <w:trPr>
          <w:cantSplit/>
        </w:trPr>
        <w:tc>
          <w:tcPr>
            <w:tcW w:type="dxa" w:w="15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理论净流量</w:t>
            </w:r>
          </w:p>
        </w:tc>
        <w:tc>
          <w:tcPr>
            <w:tcW w:type="dxa" w:w="19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-8,557</w:t>
            </w:r>
          </w:p>
        </w:tc>
        <w:tc>
          <w:tcPr>
            <w:tcW w:type="dxa" w:w="19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综合结果</w:t>
            </w:r>
          </w:p>
        </w:tc>
        <w:tc>
          <w:tcPr>
            <w:tcW w:type="dxa" w:w="406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由W16的-4,420恶化至W17的-12,977</w:t>
            </w:r>
          </w:p>
        </w:tc>
      </w:tr>
    </w:tbl>
    <w:p>
      <w:pPr>
        <w:spacing w:after="20"/>
      </w:pP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W17的MTU恶化主要由转沉默用户激增驱动，召回下降进一步加剧缺口；同期首交用户虽明显增长，但只能部分抵消负向影响。因此，本轮下滑并非单纯拉新不足，业务重点应优先转向存量留存和召回修复。</w:t>
      </w:r>
    </w:p>
    <w:p>
      <w:pPr>
        <w:pStyle w:val="Heading2"/>
      </w:pPr>
      <w:r>
        <w:t>4.4 W16已提前暴露流失侧风险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W16转沉默人数由W15的19,163人上升至28,635人，环比增长约49.4%；当周MTU仅下降1.45%，尚未出现W17的剧烈下跌。说明转沉默增速比MTU结果指标更早暴露风险，W16可作为本次事件的流失侧预警点。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4CE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C18C24"/>
                <w:sz w:val="20"/>
              </w:rPr>
              <w:t>归因边界：</w:t>
            </w:r>
            <w:r>
              <w:rPr>
                <w:rFonts w:ascii="Microsoft YaHei" w:hAnsi="Microsoft YaHei" w:eastAsia="微软雅黑"/>
                <w:color w:val="1F2937"/>
                <w:sz w:val="20"/>
              </w:rPr>
              <w:t>本章确认的是“用户状态变化如何推动MTU下滑”，尚未证明用户因何转沉默。手续费、VIP政策、运营活动、产品体验和投诉等只能作为后续根因排查方向。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核心流失客群定位</w:t>
      </w:r>
    </w:p>
    <w:p>
      <w:pPr>
        <w:pStyle w:val="Heading2"/>
      </w:pPr>
      <w:r>
        <w:t>5.1 Tier下钻：绝对规模最大不等于异常贡献最大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W17横截面上，中度用户转沉默18,499人，为绝对规模最大的群体；重度用户10,900人，轻度用户7,178人。但中度用户长期保持较高转沉默规模，单看W17绝对值不足以解释本轮异常。为识别“谁把W17推坏了”，应比较W16至W17的增量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824228"/>
            <wp:docPr id="3" name="Picture 3" descr="各tier从W16至W17的转沉默人数变化：重度用户增加6,594人，为最大异常增量。" title="各tier从W16至W17的转沉默人数变化：重度用户增加6,594人，为最大异常增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_chan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4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00"/>
        <w:jc w:val="center"/>
      </w:pPr>
      <w:r>
        <w:rPr>
          <w:rFonts w:ascii="Microsoft YaHei" w:hAnsi="Microsoft YaHei" w:eastAsia="微软雅黑"/>
          <w:color w:val="667085"/>
          <w:sz w:val="17"/>
        </w:rPr>
        <w:t>图3  各tier的W16至W17转沉默人数变化（全量分层汇总）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00"/>
        <w:gridCol w:w="2400"/>
        <w:gridCol w:w="24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Tier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W16转沉默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W17转沉默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异常增量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重度用户</w:t>
            </w:r>
          </w:p>
        </w:tc>
        <w:tc>
          <w:tcPr>
            <w:tcW w:type="dxa" w:w="24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4,306</w:t>
            </w:r>
          </w:p>
        </w:tc>
        <w:tc>
          <w:tcPr>
            <w:tcW w:type="dxa" w:w="24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10,900</w:t>
            </w:r>
          </w:p>
        </w:tc>
        <w:tc>
          <w:tcPr>
            <w:tcW w:type="dxa" w:w="24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+6,594</w:t>
            </w:r>
          </w:p>
        </w:tc>
      </w:tr>
      <w:tr>
        <w:trPr>
          <w:cantSplit/>
        </w:trPr>
        <w:tc>
          <w:tcPr>
            <w:tcW w:type="dxa" w:w="21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中度用户</w:t>
            </w:r>
          </w:p>
        </w:tc>
        <w:tc>
          <w:tcPr>
            <w:tcW w:type="dxa" w:w="24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15,096</w:t>
            </w:r>
          </w:p>
        </w:tc>
        <w:tc>
          <w:tcPr>
            <w:tcW w:type="dxa" w:w="24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18,499</w:t>
            </w:r>
          </w:p>
        </w:tc>
        <w:tc>
          <w:tcPr>
            <w:tcW w:type="dxa" w:w="246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+3,403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轻度用户</w:t>
            </w:r>
          </w:p>
        </w:tc>
        <w:tc>
          <w:tcPr>
            <w:tcW w:type="dxa" w:w="24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8,465</w:t>
            </w:r>
          </w:p>
        </w:tc>
        <w:tc>
          <w:tcPr>
            <w:tcW w:type="dxa" w:w="24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7,178</w:t>
            </w:r>
          </w:p>
        </w:tc>
        <w:tc>
          <w:tcPr>
            <w:tcW w:type="dxa" w:w="24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-1,287</w:t>
            </w:r>
          </w:p>
        </w:tc>
      </w:tr>
    </w:tbl>
    <w:p>
      <w:pPr>
        <w:spacing w:after="20"/>
      </w:pP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W16至W17，重度用户转沉默增加6,594人，高于中度用户的3,403人；轻度用户反而减少1,287人。由此可见，W17异常增量主要集中在重度用户，而不是由绝对规模最大的中度用户主导。</w:t>
      </w:r>
    </w:p>
    <w:p>
      <w:pPr>
        <w:pStyle w:val="Heading2"/>
      </w:pPr>
      <w:r>
        <w:t>5.2 样本价值特征：重度转沉默用户价值更高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550"/>
        <w:gridCol w:w="2560"/>
        <w:gridCol w:w="1970"/>
        <w:gridCol w:w="1730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Tier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样本人数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样本内交易总额（U）</w:t>
            </w:r>
          </w:p>
        </w:tc>
        <w:tc>
          <w:tcPr>
            <w:tcW w:type="dxa" w:w="19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人均交易额（U）</w:t>
            </w:r>
          </w:p>
        </w:tc>
        <w:tc>
          <w:tcPr>
            <w:tcW w:type="dxa" w:w="17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人均交易笔数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重度用户</w:t>
            </w:r>
          </w:p>
        </w:tc>
        <w:tc>
          <w:tcPr>
            <w:tcW w:type="dxa" w:w="15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2,195</w:t>
            </w:r>
          </w:p>
        </w:tc>
        <w:tc>
          <w:tcPr>
            <w:tcW w:type="dxa" w:w="2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2,429,865.20</w:t>
            </w:r>
          </w:p>
        </w:tc>
        <w:tc>
          <w:tcPr>
            <w:tcW w:type="dxa" w:w="197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1,107.00</w:t>
            </w:r>
          </w:p>
        </w:tc>
        <w:tc>
          <w:tcPr>
            <w:tcW w:type="dxa" w:w="173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2.50</w:t>
            </w:r>
          </w:p>
        </w:tc>
      </w:tr>
      <w:tr>
        <w:trPr>
          <w:cantSplit/>
        </w:trPr>
        <w:tc>
          <w:tcPr>
            <w:tcW w:type="dxa" w:w="155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中度用户</w:t>
            </w:r>
          </w:p>
        </w:tc>
        <w:tc>
          <w:tcPr>
            <w:tcW w:type="dxa" w:w="155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3,657</w:t>
            </w:r>
          </w:p>
        </w:tc>
        <w:tc>
          <w:tcPr>
            <w:tcW w:type="dxa" w:w="256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912,873.58</w:t>
            </w:r>
          </w:p>
        </w:tc>
        <w:tc>
          <w:tcPr>
            <w:tcW w:type="dxa" w:w="197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249.62</w:t>
            </w:r>
          </w:p>
        </w:tc>
        <w:tc>
          <w:tcPr>
            <w:tcW w:type="dxa" w:w="173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1.99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轻度用户</w:t>
            </w:r>
          </w:p>
        </w:tc>
        <w:tc>
          <w:tcPr>
            <w:tcW w:type="dxa" w:w="15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1,463</w:t>
            </w:r>
          </w:p>
        </w:tc>
        <w:tc>
          <w:tcPr>
            <w:tcW w:type="dxa" w:w="2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70,186.50</w:t>
            </w:r>
          </w:p>
        </w:tc>
        <w:tc>
          <w:tcPr>
            <w:tcW w:type="dxa" w:w="197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47.97</w:t>
            </w:r>
          </w:p>
        </w:tc>
        <w:tc>
          <w:tcPr>
            <w:tcW w:type="dxa" w:w="173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1.52</w:t>
            </w:r>
          </w:p>
        </w:tc>
      </w:tr>
    </w:tbl>
    <w:p>
      <w:pPr>
        <w:spacing w:after="20"/>
      </w:pP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在20%明细样本中，W17重度转沉默用户人均交易额约1,107U、人均交易2.50笔，显著高于中度和轻度用户。该结果支持将重度用户视为高价值流失风险客群；样本内交易总额约243万U仅反映样本价值特征，不表述为全平台损失。</w:t>
      </w:r>
    </w:p>
    <w:p>
      <w:pPr>
        <w:pStyle w:val="Heading2"/>
      </w:pPr>
      <w:r>
        <w:t>5.3 Country下钻：D国同时体现规模、增量与价值集中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62200"/>
            <wp:docPr id="4" name="Picture 4" descr="20%明细样本中各国家W16至W17重度转沉默增量；D国增加484人，为样本内最高。" title="20%明细样本中各国家W16至W17重度转沉默增量；D国增加484人，为样本内最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ry_chan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00"/>
        <w:jc w:val="center"/>
      </w:pPr>
      <w:r>
        <w:rPr>
          <w:rFonts w:ascii="Microsoft YaHei" w:hAnsi="Microsoft YaHei" w:eastAsia="微软雅黑"/>
          <w:color w:val="667085"/>
          <w:sz w:val="17"/>
        </w:rPr>
        <w:t>图4  各国家W16至W17重度转沉默增量（20%明细样本）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750"/>
        <w:gridCol w:w="1850"/>
        <w:gridCol w:w="2580"/>
        <w:gridCol w:w="2130"/>
      </w:tblGrid>
      <w:tr>
        <w:trPr>
          <w:tblHeader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国家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W17样本人数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W16→W17增量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样本内交易总额（U）</w:t>
            </w:r>
          </w:p>
        </w:tc>
        <w:tc>
          <w:tcPr>
            <w:tcW w:type="dxa" w:w="2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人均交易额（U）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D国</w:t>
            </w:r>
          </w:p>
        </w:tc>
        <w:tc>
          <w:tcPr>
            <w:tcW w:type="dxa" w:w="17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768</w:t>
            </w:r>
          </w:p>
        </w:tc>
        <w:tc>
          <w:tcPr>
            <w:tcW w:type="dxa" w:w="18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+484</w:t>
            </w:r>
          </w:p>
        </w:tc>
        <w:tc>
          <w:tcPr>
            <w:tcW w:type="dxa" w:w="25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837,402.06</w:t>
            </w:r>
          </w:p>
        </w:tc>
        <w:tc>
          <w:tcPr>
            <w:tcW w:type="dxa" w:w="213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1,090.37</w:t>
            </w:r>
          </w:p>
        </w:tc>
      </w:tr>
      <w:tr>
        <w:trPr>
          <w:cantSplit/>
        </w:trPr>
        <w:tc>
          <w:tcPr>
            <w:tcW w:type="dxa" w:w="105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V国</w:t>
            </w:r>
          </w:p>
        </w:tc>
        <w:tc>
          <w:tcPr>
            <w:tcW w:type="dxa" w:w="175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333</w:t>
            </w:r>
          </w:p>
        </w:tc>
        <w:tc>
          <w:tcPr>
            <w:tcW w:type="dxa" w:w="185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+200</w:t>
            </w:r>
          </w:p>
        </w:tc>
        <w:tc>
          <w:tcPr>
            <w:tcW w:type="dxa" w:w="258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457,096.58</w:t>
            </w:r>
          </w:p>
        </w:tc>
        <w:tc>
          <w:tcPr>
            <w:tcW w:type="dxa" w:w="213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1,372.66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R国</w:t>
            </w:r>
          </w:p>
        </w:tc>
        <w:tc>
          <w:tcPr>
            <w:tcW w:type="dxa" w:w="17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437</w:t>
            </w:r>
          </w:p>
        </w:tc>
        <w:tc>
          <w:tcPr>
            <w:tcW w:type="dxa" w:w="18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+279</w:t>
            </w:r>
          </w:p>
        </w:tc>
        <w:tc>
          <w:tcPr>
            <w:tcW w:type="dxa" w:w="25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450,745.05</w:t>
            </w:r>
          </w:p>
        </w:tc>
        <w:tc>
          <w:tcPr>
            <w:tcW w:type="dxa" w:w="213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1,031.45</w:t>
            </w:r>
          </w:p>
        </w:tc>
      </w:tr>
      <w:tr>
        <w:trPr>
          <w:cantSplit/>
        </w:trPr>
        <w:tc>
          <w:tcPr>
            <w:tcW w:type="dxa" w:w="105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S国</w:t>
            </w:r>
          </w:p>
        </w:tc>
        <w:tc>
          <w:tcPr>
            <w:tcW w:type="dxa" w:w="175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225</w:t>
            </w:r>
          </w:p>
        </w:tc>
        <w:tc>
          <w:tcPr>
            <w:tcW w:type="dxa" w:w="185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+141</w:t>
            </w:r>
          </w:p>
        </w:tc>
        <w:tc>
          <w:tcPr>
            <w:tcW w:type="dxa" w:w="258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263,564.30</w:t>
            </w:r>
          </w:p>
        </w:tc>
        <w:tc>
          <w:tcPr>
            <w:tcW w:type="dxa" w:w="213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1,171.40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M国</w:t>
            </w:r>
          </w:p>
        </w:tc>
        <w:tc>
          <w:tcPr>
            <w:tcW w:type="dxa" w:w="17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162</w:t>
            </w:r>
          </w:p>
        </w:tc>
        <w:tc>
          <w:tcPr>
            <w:tcW w:type="dxa" w:w="18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+78</w:t>
            </w:r>
          </w:p>
        </w:tc>
        <w:tc>
          <w:tcPr>
            <w:tcW w:type="dxa" w:w="25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152,304.34</w:t>
            </w:r>
          </w:p>
        </w:tc>
        <w:tc>
          <w:tcPr>
            <w:tcW w:type="dxa" w:w="213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940.15</w:t>
            </w:r>
          </w:p>
        </w:tc>
      </w:tr>
      <w:tr>
        <w:trPr>
          <w:cantSplit/>
        </w:trPr>
        <w:tc>
          <w:tcPr>
            <w:tcW w:type="dxa" w:w="105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J国</w:t>
            </w:r>
          </w:p>
        </w:tc>
        <w:tc>
          <w:tcPr>
            <w:tcW w:type="dxa" w:w="175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138</w:t>
            </w:r>
          </w:p>
        </w:tc>
        <w:tc>
          <w:tcPr>
            <w:tcW w:type="dxa" w:w="185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+84</w:t>
            </w:r>
          </w:p>
        </w:tc>
        <w:tc>
          <w:tcPr>
            <w:tcW w:type="dxa" w:w="258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139,705.33</w:t>
            </w:r>
          </w:p>
        </w:tc>
        <w:tc>
          <w:tcPr>
            <w:tcW w:type="dxa" w:w="213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1,012.36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其它</w:t>
            </w:r>
          </w:p>
        </w:tc>
        <w:tc>
          <w:tcPr>
            <w:tcW w:type="dxa" w:w="17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132</w:t>
            </w:r>
          </w:p>
        </w:tc>
        <w:tc>
          <w:tcPr>
            <w:tcW w:type="dxa" w:w="18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+92</w:t>
            </w:r>
          </w:p>
        </w:tc>
        <w:tc>
          <w:tcPr>
            <w:tcW w:type="dxa" w:w="25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129,047.54</w:t>
            </w:r>
          </w:p>
        </w:tc>
        <w:tc>
          <w:tcPr>
            <w:tcW w:type="dxa" w:w="213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977.63</w:t>
            </w:r>
          </w:p>
        </w:tc>
      </w:tr>
    </w:tbl>
    <w:p>
      <w:pPr>
        <w:spacing w:after="20"/>
      </w:pP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在20%明细样本中，D国W17重度转沉默用户为768人，样本内涉及交易总额约83.74万U；W16至W17新增转沉默484人，也为各国家最高。这说明D国的高绝对规模不能仅用原有盘子较大解释；其同时贡献了样本内最大的异常增量。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V国W17样本人数为333人，人均交易额约1,372.66U，为各国家最高，属于需要关注的高单用户价值客群；但从当前止血优先级看，D国同时具备规模最大、异常增量最大和样本内交易总额最高三个特征，应作为第一优先市场。</w:t>
      </w:r>
    </w:p>
    <w:p>
      <w:pPr>
        <w:pStyle w:val="Heading2"/>
      </w:pPr>
      <w:r>
        <w:t>5.4 Register_week下钻：D国重度流失以存量老客为主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91862"/>
            <wp:docPr id="5" name="Picture 5" descr="20%明细样本中D国W17重度转沉默用户注册批次：W14前存量用户647人，占84.2%。" title="20%明细样本中D国W17重度转沉默用户注册批次：W14前存量用户647人，占84.2%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_spl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00"/>
        <w:jc w:val="center"/>
      </w:pPr>
      <w:r>
        <w:rPr>
          <w:rFonts w:ascii="Microsoft YaHei" w:hAnsi="Microsoft YaHei" w:eastAsia="微软雅黑"/>
          <w:color w:val="667085"/>
          <w:sz w:val="17"/>
        </w:rPr>
        <w:t>图5  D国W17重度转沉默用户注册批次分布（20%明细样本）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100"/>
        <w:gridCol w:w="3160"/>
      </w:tblGrid>
      <w:tr>
        <w:trPr>
          <w:tblHeader w:val="true"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register_week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样本人数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占比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before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647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84.2%</w:t>
            </w:r>
          </w:p>
        </w:tc>
      </w:tr>
      <w:tr>
        <w:trPr>
          <w:cantSplit/>
        </w:trPr>
        <w:tc>
          <w:tcPr>
            <w:tcW w:type="dxa" w:w="31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W14</w:t>
            </w:r>
          </w:p>
        </w:tc>
        <w:tc>
          <w:tcPr>
            <w:tcW w:type="dxa" w:w="31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12</w:t>
            </w:r>
          </w:p>
        </w:tc>
        <w:tc>
          <w:tcPr>
            <w:tcW w:type="dxa" w:w="316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1.6%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W15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25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3.3%</w:t>
            </w:r>
          </w:p>
        </w:tc>
      </w:tr>
      <w:tr>
        <w:trPr>
          <w:cantSplit/>
        </w:trPr>
        <w:tc>
          <w:tcPr>
            <w:tcW w:type="dxa" w:w="31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W16</w:t>
            </w:r>
          </w:p>
        </w:tc>
        <w:tc>
          <w:tcPr>
            <w:tcW w:type="dxa" w:w="31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14</w:t>
            </w:r>
          </w:p>
        </w:tc>
        <w:tc>
          <w:tcPr>
            <w:tcW w:type="dxa" w:w="316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1.8%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W17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70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9.1%</w:t>
            </w:r>
          </w:p>
        </w:tc>
      </w:tr>
    </w:tbl>
    <w:p>
      <w:pPr>
        <w:spacing w:after="20"/>
      </w:pP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D国W17重度转沉默用户共768人，其中register_week='before'的用户为647人，占84.2%。这说明本轮风险主要集中在W14前注册的存量用户，并非主要来自近期注册用户。需要注意，register_week只能证明注册时间较早，不能单独证明这批用户一直持续活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DECEC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C00000"/>
                <w:sz w:val="20"/>
              </w:rPr>
              <w:t>核心风险客群：</w:t>
            </w:r>
            <w:r>
              <w:rPr>
                <w:rFonts w:ascii="Microsoft YaHei" w:hAnsi="Microsoft YaHei" w:eastAsia="微软雅黑"/>
                <w:color w:val="1F2937"/>
                <w:sz w:val="20"/>
              </w:rPr>
              <w:t>D国 × 重度用户 × 存量老客。该结论来自“异常增量”而非仅看绝对人数，并由20%明细样本中的价值特征进一步支撑。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核心洞察</w:t>
      </w:r>
    </w:p>
    <w:p>
      <w:pPr>
        <w:pStyle w:val="Heading2"/>
      </w:pPr>
      <w:r>
        <w:t>洞察一｜核心矛盾由流入规模转向存量留存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W17虽然首交流入增加5,380人，但无法抵消转沉默增加10,109人和召回减少3,828人带来的负向作用。继续单纯加大拉新难以单独扭转当前MTU下滑，业务重点应转向降低存量用户转沉默并恢复召回能力。</w:t>
      </w:r>
    </w:p>
    <w:p>
      <w:pPr>
        <w:pStyle w:val="Heading2"/>
      </w:pPr>
      <w:r>
        <w:t>洞察二｜异常流失集中在高价值重度用户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中度用户在W17的绝对转沉默规模最高，但其长期处于高位；真正贡献最大异常增量的是重度用户。20%明细样本中，重度转沉默用户的人均交易额和交易频次均明显高于中轻度用户，因此本轮MTU下降同时伴随高价值用户流失风险。</w:t>
      </w:r>
    </w:p>
    <w:p>
      <w:pPr>
        <w:pStyle w:val="Heading2"/>
      </w:pPr>
      <w:r>
        <w:t>洞察三｜风险进一步集中在D国存量老客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在20%明细样本中，D国既是W17重度转沉默人数最多、样本内交易总额最高的国家，也是W16至W17异常增量最大的国家；其中约84%为W14前注册的存量用户。整体来看，本轮MTU恶化并非广泛、均匀地分布于各类用户，异常进一步集中体现于特定的高价值存量客群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4CE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C18C24"/>
                <w:sz w:val="20"/>
              </w:rPr>
              <w:t>尚未回答的问题：</w:t>
            </w:r>
            <w:r>
              <w:rPr>
                <w:rFonts w:ascii="Microsoft YaHei" w:hAnsi="Microsoft YaHei" w:eastAsia="微软雅黑"/>
                <w:color w:val="1F2937"/>
                <w:sz w:val="20"/>
              </w:rPr>
              <w:t>现有数据已经完成异常时点、用户状态与重点客群定位，但尚不能证明D国重度存量用户为何转沉默。具体业务根因需在W16-W17时间窗口结合政策、活动、产品体验、投诉与定向回访继续验证。</w:t>
            </w:r>
          </w:p>
        </w:tc>
      </w:tr>
    </w:tbl>
    <w:p>
      <w:pPr>
        <w:spacing w:after="20"/>
      </w:pPr>
    </w:p>
    <w:p>
      <w:pPr>
        <w:pStyle w:val="Heading1"/>
      </w:pPr>
      <w:r>
        <w:t>7. 业务建议</w:t>
      </w:r>
    </w:p>
    <w:p>
      <w:pPr>
        <w:pStyle w:val="Heading2"/>
      </w:pPr>
      <w:r>
        <w:t>建议一｜启动D国高价值存量用户专项止血与根因排查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b/>
          <w:color w:val="1F2937"/>
        </w:rPr>
        <w:t>先止血：</w:t>
      </w:r>
      <w:r>
        <w:rPr>
          <w:rFonts w:ascii="Microsoft YaHei" w:hAnsi="Microsoft YaHei" w:eastAsia="微软雅黑"/>
          <w:color w:val="1F2937"/>
        </w:rPr>
        <w:t>将D国仍处于活跃状态的重度存量用户纳入重点观察与风险筛查名单，由客户经理主动触达，了解近期交易体验和流失意向；对筛查后出现明显流失信号的用户，根据实际诉求提供手续费优惠、VIP权益或活动激励等差异化挽留方案。止血动作应先小范围试行并保留对照，避免未经验证的大规模资源投放。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b/>
          <w:color w:val="1F2937"/>
        </w:rPr>
        <w:t>同步排查：</w:t>
      </w:r>
      <w:r>
        <w:rPr>
          <w:rFonts w:ascii="Microsoft YaHei" w:hAnsi="Microsoft YaHei" w:eastAsia="微软雅黑"/>
          <w:color w:val="1F2937"/>
        </w:rPr>
        <w:t>围绕W16-W17异常时间窗口，联合D国运营、产品和客户经理复盘是否存在手续费或VIP政策调整、运营活动变化、产品体验问题、客户投诉集中等事件，并对已转沉默的高价值老客定向回访，收集真实流失原因。这些均为待验证假设，不作为本报告已确认的原因。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b/>
          <w:color w:val="1F2937"/>
        </w:rPr>
        <w:t>判断效果：</w:t>
      </w:r>
      <w:r>
        <w:rPr>
          <w:rFonts w:ascii="Microsoft YaHei" w:hAnsi="Microsoft YaHei" w:eastAsia="微软雅黑"/>
          <w:color w:val="1F2937"/>
        </w:rPr>
        <w:t>短期重点观察D国重度存量用户新增转沉默人数是否持续下降；中期观察该客群净流出是否收窄，以及其改善是否带动整体MTU止跌。</w:t>
      </w:r>
    </w:p>
    <w:p>
      <w:pPr>
        <w:pStyle w:val="Heading2"/>
      </w:pPr>
      <w:r>
        <w:t>建议二｜对已流失高价值用户实施分层召回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以D国重度存量用户作为第一优先召回客群，并结合历史交易金额、交易频次等指标划分价值等级。对高价值用户采用客户经理一对一触达、VIP权益恢复、手续费优惠等较强干预；对价值相对较低用户使用邮件、站内信或标准化回归活动，避免对所有流失用户采用相同成本的运营策略。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召回效果不应只看“回来一次”。建议重点跟踪各层级召回率、增量回流、召回后交易恢复率、人均交易额，以及召回后2-4周的持续活跃情况；条件允许时设置对照组或小流量试验，判断真实增量效果与单位增量成本。</w:t>
      </w:r>
    </w:p>
    <w:p>
      <w:pPr>
        <w:pStyle w:val="Heading2"/>
      </w:pPr>
      <w:r>
        <w:t>建议三｜完善MTU前置预警与异常处置闭环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成熟业务通常已有监控，但“有监控”不等于“有有效前置预警”，也不等于“触发后有人及时处理”。本次W16转沉默环比已增长约49.4%，而MTU仅小幅下降，说明只盯MTU结果指标存在滞后。建议将转沉默、净流量及重点客群变化纳入前置监控，并建立从触发到复盘的闭环。</w:t>
      </w:r>
    </w:p>
    <w:p>
      <w:pPr>
        <w:pStyle w:val="Heading1"/>
      </w:pPr>
      <w:r>
        <w:t>8. MTU预警与异常处置机制</w:t>
      </w:r>
    </w:p>
    <w:p>
      <w:pPr>
        <w:pStyle w:val="Heading2"/>
      </w:pPr>
      <w:r>
        <w:t>8.1 三级指标体系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2750"/>
        <w:gridCol w:w="241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核心指标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建议下钻维度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业务用途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前置指标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转沉默人数及其变化率</w:t>
            </w:r>
          </w:p>
        </w:tc>
        <w:tc>
          <w:tcPr>
            <w:tcW w:type="dxa" w:w="2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全平台、重度用户、重点国家、存量用户</w:t>
            </w:r>
          </w:p>
        </w:tc>
        <w:tc>
          <w:tcPr>
            <w:tcW w:type="dxa" w:w="24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发现流失侧提前恶化</w:t>
            </w:r>
          </w:p>
        </w:tc>
      </w:tr>
      <w:tr>
        <w:trPr>
          <w:cantSplit/>
        </w:trPr>
        <w:tc>
          <w:tcPr>
            <w:tcW w:type="dxa" w:w="150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过程指标</w:t>
            </w:r>
          </w:p>
        </w:tc>
        <w:tc>
          <w:tcPr>
            <w:tcW w:type="dxa" w:w="270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净流量 = 首交 + 召回 - 转沉默</w:t>
            </w:r>
          </w:p>
        </w:tc>
        <w:tc>
          <w:tcPr>
            <w:tcW w:type="dxa" w:w="275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全平台及重点客群</w:t>
            </w:r>
          </w:p>
        </w:tc>
        <w:tc>
          <w:tcPr>
            <w:tcW w:type="dxa" w:w="241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确认用户池是否开始失血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结果指标</w:t>
            </w:r>
          </w:p>
        </w:tc>
        <w:tc>
          <w:tcPr>
            <w:tcW w:type="dxa" w:w="2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MTU周变化与周环比</w:t>
            </w:r>
          </w:p>
        </w:tc>
        <w:tc>
          <w:tcPr>
            <w:tcW w:type="dxa" w:w="2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全平台</w:t>
            </w:r>
          </w:p>
        </w:tc>
        <w:tc>
          <w:tcPr>
            <w:tcW w:type="dxa" w:w="24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7"/>
              </w:rPr>
              <w:t>确认异常是否已传导至核心结果</w:t>
            </w:r>
          </w:p>
        </w:tc>
      </w:tr>
    </w:tbl>
    <w:p>
      <w:pPr>
        <w:spacing w:after="20"/>
      </w:pPr>
    </w:p>
    <w:p>
      <w:pPr>
        <w:pStyle w:val="Heading2"/>
      </w:pPr>
      <w:r>
        <w:t>8.2 黄灯与红灯触发逻辑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b/>
          <w:color w:val="1F2937"/>
        </w:rPr>
        <w:t>黄灯预警：</w:t>
      </w:r>
      <w:r>
        <w:rPr>
          <w:rFonts w:ascii="Microsoft YaHei" w:hAnsi="Microsoft YaHei" w:eastAsia="微软雅黑"/>
          <w:color w:val="1F2937"/>
        </w:rPr>
        <w:t>本周转沉默人数或重点客群转沉默人数显著高于历史正常水平，或净流量由正转负时，进入人工核查。候选阈值应依据更长周期的历史正常区间、历史分位数及连续异常表现提出，再通过历史回测校准。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b/>
          <w:color w:val="1F2937"/>
        </w:rPr>
        <w:t>红灯预警：</w:t>
      </w:r>
      <w:r>
        <w:rPr>
          <w:rFonts w:ascii="Microsoft YaHei" w:hAnsi="Microsoft YaHei" w:eastAsia="微软雅黑"/>
          <w:color w:val="1F2937"/>
        </w:rPr>
        <w:t>异常连续两周扩大、净流出缺口持续恶化，或MTU同步出现明显下跌时，升级为高等级告警并启动跨部门专项排查。具体阈值由数据分析基于历史正常区间提出候选方案，并结合业务误报成本、漏报风险及运营处置能力共同确定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4CE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C18C24"/>
                <w:sz w:val="20"/>
              </w:rPr>
              <w:t>本次事件回溯：</w:t>
            </w:r>
            <w:r>
              <w:rPr>
                <w:rFonts w:ascii="Microsoft YaHei" w:hAnsi="Microsoft YaHei" w:eastAsia="微软雅黑"/>
                <w:color w:val="1F2937"/>
                <w:sz w:val="20"/>
              </w:rPr>
              <w:t>如果现有监控主要关注MTU结果指标，W16的流失侧异常可能被低估。本次事件可作为预警规则回测样本：验证规则能否在W17 MTU大幅下降前，于W16发出有效信号。</w:t>
            </w:r>
          </w:p>
        </w:tc>
      </w:tr>
    </w:tbl>
    <w:p>
      <w:pPr>
        <w:spacing w:after="20"/>
      </w:pPr>
    </w:p>
    <w:p>
      <w:pPr>
        <w:pStyle w:val="Heading2"/>
      </w:pPr>
      <w:r>
        <w:t>8.3 异常处置与复盘闭环</w:t>
      </w:r>
    </w:p>
    <w:p>
      <w:pPr>
        <w:pStyle w:val="ListNumber"/>
        <w:spacing w:after="80" w:line="259" w:lineRule="auto"/>
      </w:pPr>
      <w:r>
        <w:rPr>
          <w:rFonts w:ascii="Microsoft YaHei" w:hAnsi="Microsoft YaHei" w:eastAsia="微软雅黑"/>
          <w:color w:val="1F2937"/>
        </w:rPr>
        <w:t>触发：系统记录触发指标、异常幅度、时间与涉及客群。</w:t>
      </w:r>
    </w:p>
    <w:p>
      <w:pPr>
        <w:pStyle w:val="ListNumber"/>
        <w:spacing w:after="80" w:line="259" w:lineRule="auto"/>
      </w:pPr>
      <w:r>
        <w:rPr>
          <w:rFonts w:ascii="Microsoft YaHei" w:hAnsi="Microsoft YaHei" w:eastAsia="微软雅黑"/>
          <w:color w:val="1F2937"/>
        </w:rPr>
        <w:t>确认：数据分析核对口径与数据质量，排除数据延迟或异常入库。</w:t>
      </w:r>
    </w:p>
    <w:p>
      <w:pPr>
        <w:pStyle w:val="ListNumber"/>
        <w:spacing w:after="80" w:line="259" w:lineRule="auto"/>
      </w:pPr>
      <w:r>
        <w:rPr>
          <w:rFonts w:ascii="Microsoft YaHei" w:hAnsi="Microsoft YaHei" w:eastAsia="微软雅黑"/>
          <w:color w:val="1F2937"/>
        </w:rPr>
        <w:t>定位：按tier、country、register_week逐层下钻，识别异常增量来源。</w:t>
      </w:r>
    </w:p>
    <w:p>
      <w:pPr>
        <w:pStyle w:val="ListNumber"/>
        <w:spacing w:after="80" w:line="259" w:lineRule="auto"/>
      </w:pPr>
      <w:r>
        <w:rPr>
          <w:rFonts w:ascii="Microsoft YaHei" w:hAnsi="Microsoft YaHei" w:eastAsia="微软雅黑"/>
          <w:color w:val="1F2937"/>
        </w:rPr>
        <w:t>处置：明确业务负责人和处理时效，执行止血、召回或专项排查。</w:t>
      </w:r>
    </w:p>
    <w:p>
      <w:pPr>
        <w:pStyle w:val="ListNumber"/>
        <w:spacing w:after="80" w:line="259" w:lineRule="auto"/>
      </w:pPr>
      <w:r>
        <w:rPr>
          <w:rFonts w:ascii="Microsoft YaHei" w:hAnsi="Microsoft YaHei" w:eastAsia="微软雅黑"/>
          <w:color w:val="1F2937"/>
        </w:rPr>
        <w:t>复盘：评估预警是否及时、通知是否有效、动作是否执行、策略是否奏效，并据此调整阈值与SOP。</w:t>
      </w: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如确认预警已经触发、责任人已收到且SLA明确，但长期无人处置，可按内部制度进入责任认定；本报告建议使用“异常复盘与责任闭环”的职业化表述，不在数据证据不足时直接指向具体部门或个人。</w:t>
      </w:r>
    </w:p>
    <w:p>
      <w:r>
        <w:br w:type="page"/>
      </w:r>
    </w:p>
    <w:p>
      <w:pPr>
        <w:pStyle w:val="Heading1"/>
      </w:pPr>
      <w:r>
        <w:t>9. 三个月行动计划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50"/>
        <w:gridCol w:w="1850"/>
        <w:gridCol w:w="2850"/>
        <w:gridCol w:w="1760"/>
      </w:tblGrid>
      <w:tr>
        <w:trPr>
          <w:tblHeader w:val="true"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核心目标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重点对象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关键动作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产出／成功指标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5"/>
              </w:rPr>
              <w:t>0-2周</w:t>
            </w:r>
          </w:p>
        </w:tc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5"/>
              </w:rPr>
              <w:t>立即止血与根因排查</w:t>
            </w:r>
          </w:p>
        </w:tc>
        <w:tc>
          <w:tcPr>
            <w:tcW w:type="dxa" w:w="1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5"/>
              </w:rPr>
              <w:t>D国重度存量活跃用户</w:t>
            </w:r>
          </w:p>
        </w:tc>
        <w:tc>
          <w:tcPr>
            <w:tcW w:type="dxa" w:w="2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5"/>
              </w:rPr>
              <w:t>建立风险名单；客户经理触达；小范围差异化挽留；回溯W16-W17政策、活动、产品与投诉；定向回访</w:t>
            </w:r>
          </w:p>
        </w:tc>
        <w:tc>
          <w:tcPr>
            <w:tcW w:type="dxa" w:w="1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5"/>
              </w:rPr>
              <w:t>新增转沉默人数、重点客群净流量、触达完成率；形成根因假设清单</w:t>
            </w:r>
          </w:p>
        </w:tc>
      </w:tr>
      <w:tr>
        <w:trPr>
          <w:cantSplit/>
        </w:trPr>
        <w:tc>
          <w:tcPr>
            <w:tcW w:type="dxa" w:w="1150"/>
            <w:shd w:fill="F7F9FC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5"/>
              </w:rPr>
              <w:t>第1个月</w:t>
            </w:r>
          </w:p>
        </w:tc>
        <w:tc>
          <w:tcPr>
            <w:tcW w:type="dxa" w:w="175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5"/>
              </w:rPr>
              <w:t>分层召回与效果验证</w:t>
            </w:r>
          </w:p>
        </w:tc>
        <w:tc>
          <w:tcPr>
            <w:tcW w:type="dxa" w:w="185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5"/>
              </w:rPr>
              <w:t>已转沉默高价值用户</w:t>
            </w:r>
          </w:p>
        </w:tc>
        <w:tc>
          <w:tcPr>
            <w:tcW w:type="dxa" w:w="285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5"/>
              </w:rPr>
              <w:t>按价值分层；设计不同触达策略；设置对照组或小流量试验；评估召回后交易恢复</w:t>
            </w:r>
          </w:p>
        </w:tc>
        <w:tc>
          <w:tcPr>
            <w:tcW w:type="dxa" w:w="176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5"/>
              </w:rPr>
              <w:t>增量召回、交易恢复率、2-4周持续活跃、单位增量成本</w:t>
            </w:r>
          </w:p>
        </w:tc>
      </w:tr>
      <w:tr>
        <w:trPr>
          <w:cantSplit/>
        </w:trPr>
        <w:tc>
          <w:tcPr>
            <w:tcW w:type="dxa" w:w="115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5"/>
              </w:rPr>
              <w:t>第2-3个月</w:t>
            </w:r>
          </w:p>
        </w:tc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5"/>
              </w:rPr>
              <w:t>机制固化与推广</w:t>
            </w:r>
          </w:p>
        </w:tc>
        <w:tc>
          <w:tcPr>
            <w:tcW w:type="dxa" w:w="1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5"/>
              </w:rPr>
              <w:t>全量监控 + 重点分群</w:t>
            </w:r>
          </w:p>
        </w:tc>
        <w:tc>
          <w:tcPr>
            <w:tcW w:type="dxa" w:w="2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5"/>
              </w:rPr>
              <w:t>上线MTU看板；校准黄/红灯阈值；明确责任人和SLA；沉淀处置SOP；推广已验证有效策略</w:t>
            </w:r>
          </w:p>
        </w:tc>
        <w:tc>
          <w:tcPr>
            <w:tcW w:type="dxa" w:w="1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5"/>
              </w:rPr>
              <w:t>预警提前量、响应时效、异常关闭率、净流出收窄与MTU止跌</w:t>
            </w:r>
          </w:p>
        </w:tc>
      </w:tr>
    </w:tbl>
    <w:p>
      <w:pPr>
        <w:spacing w:after="20"/>
      </w:pPr>
    </w:p>
    <w:p>
      <w:pPr>
        <w:spacing w:after="120" w:line="269" w:lineRule="auto"/>
        <w:jc w:val="both"/>
      </w:pPr>
      <w:r>
        <w:rPr>
          <w:rFonts w:ascii="Microsoft YaHei" w:hAnsi="Microsoft YaHei" w:eastAsia="微软雅黑"/>
          <w:color w:val="1F2937"/>
        </w:rPr>
        <w:t>行动计划暂不设定未经历史基线验证的固定数值目标。各阶段目标值、预警阈值和资源投入应基于历史正常波动区间、试验效果及业务成本共同校准。</w:t>
      </w:r>
    </w:p>
    <w:p>
      <w:pPr>
        <w:pStyle w:val="Heading2"/>
      </w:pPr>
      <w:r>
        <w:t>9.1 责任与复盘建议</w:t>
      </w:r>
    </w:p>
    <w:p>
      <w:pPr>
        <w:pStyle w:val="ListBullet"/>
        <w:spacing w:after="80" w:line="259" w:lineRule="auto"/>
      </w:pPr>
      <w:r>
        <w:rPr>
          <w:rFonts w:ascii="Microsoft YaHei" w:hAnsi="Microsoft YaHei" w:eastAsia="微软雅黑"/>
          <w:color w:val="1F2937"/>
        </w:rPr>
        <w:t>数据分析：维护指标口径、预警规则、异常下钻与效果评估。</w:t>
      </w:r>
    </w:p>
    <w:p>
      <w:pPr>
        <w:pStyle w:val="ListBullet"/>
        <w:spacing w:after="80" w:line="259" w:lineRule="auto"/>
      </w:pPr>
      <w:r>
        <w:rPr>
          <w:rFonts w:ascii="Microsoft YaHei" w:hAnsi="Microsoft YaHei" w:eastAsia="微软雅黑"/>
          <w:color w:val="1F2937"/>
        </w:rPr>
        <w:t>D国运营／客户经理：执行触达、挽留、回访与召回，记录用户反馈。</w:t>
      </w:r>
    </w:p>
    <w:p>
      <w:pPr>
        <w:pStyle w:val="ListBullet"/>
        <w:spacing w:after="80" w:line="259" w:lineRule="auto"/>
      </w:pPr>
      <w:r>
        <w:rPr>
          <w:rFonts w:ascii="Microsoft YaHei" w:hAnsi="Microsoft YaHei" w:eastAsia="微软雅黑"/>
          <w:color w:val="1F2937"/>
        </w:rPr>
        <w:t>产品／业务：核查W16-W17相关变更，验证根因假设并推动修复。</w:t>
      </w:r>
    </w:p>
    <w:p>
      <w:pPr>
        <w:pStyle w:val="ListBullet"/>
        <w:spacing w:after="80" w:line="259" w:lineRule="auto"/>
      </w:pPr>
      <w:r>
        <w:rPr>
          <w:rFonts w:ascii="Microsoft YaHei" w:hAnsi="Microsoft YaHei" w:eastAsia="微软雅黑"/>
          <w:color w:val="1F2937"/>
        </w:rPr>
        <w:t>项目负责人：确认SLA、跨部门升级条件、资源投入与复盘结论。</w:t>
      </w:r>
    </w:p>
    <w:p>
      <w:pPr>
        <w:pStyle w:val="Heading1"/>
      </w:pPr>
      <w:r>
        <w:t>10. 后续BI看板指标建议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50"/>
        <w:gridCol w:w="401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看板模块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核心指标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呈现与使用要求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MTU总览</w:t>
            </w:r>
          </w:p>
        </w:tc>
        <w:tc>
          <w:tcPr>
            <w:tcW w:type="dxa" w:w="35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周末MTU、周变化量、周环比、状态灯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标注W16预警、W17拐点、W18仍净流出</w:t>
            </w:r>
          </w:p>
        </w:tc>
      </w:tr>
      <w:tr>
        <w:trPr>
          <w:cantSplit/>
        </w:trPr>
        <w:tc>
          <w:tcPr>
            <w:tcW w:type="dxa" w:w="180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用户池拆解</w:t>
            </w:r>
          </w:p>
        </w:tc>
        <w:tc>
          <w:tcPr>
            <w:tcW w:type="dxa" w:w="355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首交、召回、转沉默、净流量、残差ε</w:t>
            </w:r>
          </w:p>
        </w:tc>
        <w:tc>
          <w:tcPr>
            <w:tcW w:type="dxa" w:w="401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观察流入/流出结构与各项周变化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客群下钻</w:t>
            </w:r>
          </w:p>
        </w:tc>
        <w:tc>
          <w:tcPr>
            <w:tcW w:type="dxa" w:w="35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转沉默人数、异常增量、净流量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支持week、tier、country、register_week筛选</w:t>
            </w:r>
          </w:p>
        </w:tc>
      </w:tr>
      <w:tr>
        <w:trPr>
          <w:cantSplit/>
        </w:trPr>
        <w:tc>
          <w:tcPr>
            <w:tcW w:type="dxa" w:w="180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样本价值特征</w:t>
            </w:r>
          </w:p>
        </w:tc>
        <w:tc>
          <w:tcPr>
            <w:tcW w:type="dxa" w:w="355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样本人数、交易金额、人均交易额、交易频次</w:t>
            </w:r>
          </w:p>
        </w:tc>
        <w:tc>
          <w:tcPr>
            <w:tcW w:type="dxa" w:w="401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单独标注“20%明细样本”，禁止命名为平台损失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预警与处置</w:t>
            </w:r>
          </w:p>
        </w:tc>
        <w:tc>
          <w:tcPr>
            <w:tcW w:type="dxa" w:w="35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触发时间、指标、维度、级别、负责人、状态、复盘日期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支撑异常闭环与SLA管理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4CE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微软雅黑"/>
                <w:b/>
                <w:color w:val="C18C24"/>
                <w:sz w:val="20"/>
              </w:rPr>
              <w:t>看板口径提示：</w:t>
            </w:r>
            <w:r>
              <w:rPr>
                <w:rFonts w:ascii="Microsoft YaHei" w:hAnsi="Microsoft YaHei" w:eastAsia="微软雅黑"/>
                <w:color w:val="1F2937"/>
                <w:sz w:val="20"/>
              </w:rPr>
              <w:t>全量汇总指标与20%样本价值指标必须分区展示，并在图表标题、提示文本和筛选器中明确标注，避免将样本金额误读为全平台损失。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附录A  指标口径与关键数据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6"/>
              </w:rPr>
              <w:t>使用边界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MTU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每周末交易活跃用户快照，单位为万用户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daily_funnel.mtu_wan_end_of_week</w:t>
            </w:r>
          </w:p>
        </w:tc>
      </w:tr>
      <w:tr>
        <w:trPr>
          <w:cantSplit/>
        </w:trPr>
        <w:tc>
          <w:tcPr>
            <w:tcW w:type="dxa" w:w="190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MTU周环比</w:t>
            </w:r>
          </w:p>
        </w:tc>
        <w:tc>
          <w:tcPr>
            <w:tcW w:type="dxa" w:w="360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（本周MTU - 上周MTU）/ 上周MTU</w:t>
            </w:r>
          </w:p>
        </w:tc>
        <w:tc>
          <w:tcPr>
            <w:tcW w:type="dxa" w:w="386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趋势与拐点识别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总流入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首交流入 + 召回流入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用户池流入</w:t>
            </w:r>
          </w:p>
        </w:tc>
      </w:tr>
      <w:tr>
        <w:trPr>
          <w:cantSplit/>
        </w:trPr>
        <w:tc>
          <w:tcPr>
            <w:tcW w:type="dxa" w:w="190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净流量</w:t>
            </w:r>
          </w:p>
        </w:tc>
        <w:tc>
          <w:tcPr>
            <w:tcW w:type="dxa" w:w="360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首交流入 + 召回流入 - 转沉默</w:t>
            </w:r>
          </w:p>
        </w:tc>
        <w:tc>
          <w:tcPr>
            <w:tcW w:type="dxa" w:w="386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业务解释框架；不等同于严格MTU对账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存量用户</w:t>
            </w:r>
          </w:p>
        </w:tc>
        <w:tc>
          <w:tcPr>
            <w:tcW w:type="dxa" w:w="3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register_week='before'，即W14前注册</w:t>
            </w:r>
          </w:p>
        </w:tc>
        <w:tc>
          <w:tcPr>
            <w:tcW w:type="dxa" w:w="38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不等同于持续长期活跃</w:t>
            </w:r>
          </w:p>
        </w:tc>
      </w:tr>
      <w:tr>
        <w:trPr>
          <w:cantSplit/>
        </w:trPr>
        <w:tc>
          <w:tcPr>
            <w:tcW w:type="dxa" w:w="190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样本交易金额</w:t>
            </w:r>
          </w:p>
        </w:tc>
        <w:tc>
          <w:tcPr>
            <w:tcW w:type="dxa" w:w="360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20%明细样本中用户该周交易总额</w:t>
            </w:r>
          </w:p>
        </w:tc>
        <w:tc>
          <w:tcPr>
            <w:tcW w:type="dxa" w:w="3860"/>
            <w:shd w:fill="F7F9F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1F2937"/>
                <w:sz w:val="16"/>
              </w:rPr>
              <w:t>仅用于价值特征比较，不代表平台损失</w:t>
            </w:r>
          </w:p>
        </w:tc>
      </w:tr>
    </w:tbl>
    <w:p>
      <w:pPr>
        <w:spacing w:after="20"/>
      </w:pPr>
    </w:p>
    <w:p>
      <w:pPr>
        <w:pStyle w:val="Heading1"/>
      </w:pPr>
      <w:r>
        <w:t>附录B  核心SQL</w:t>
      </w:r>
    </w:p>
    <w:p>
      <w:pPr>
        <w:pStyle w:val="Heading2"/>
      </w:pPr>
      <w:r>
        <w:t>B.1 MTU周环比与拐点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6F8FA"/>
          </w:tcPr>
          <w:p>
            <w:pPr>
              <w:spacing w:after="0"/>
            </w:pPr>
            <w:r>
              <w:rPr>
                <w:rFonts w:ascii="Consolas" w:hAnsi="Consolas" w:eastAsia="微软雅黑"/>
                <w:color w:val="24292F"/>
                <w:sz w:val="16"/>
              </w:rPr>
              <w:t>SELECT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week_num,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mtu_wan_end_of_week AS current_mtu,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LAG(mtu_wan_end_of_week) OVER (ORDER BY week_num) AS previous_mtu,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mtu_wan_end_of_week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  - LAG(mtu_wan_end_of_week) OVER (ORDER BY week_num) AS mtu_change,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ROUND(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  (mtu_wan_end_of_week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   - LAG(mtu_wan_end_of_week) OVER (ORDER BY week_num))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  / NULLIF(LAG(mtu_wan_end_of_week) OVER (ORDER BY week_num), 0), 4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) AS wow_change_rate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>FROM daily_funnel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>WHERE mtu_wan_end_of_week IS NOT NULL;</w:t>
            </w:r>
          </w:p>
        </w:tc>
      </w:tr>
    </w:tbl>
    <w:p>
      <w:pPr>
        <w:spacing w:after="20"/>
      </w:pPr>
    </w:p>
    <w:p>
      <w:pPr>
        <w:pStyle w:val="Heading2"/>
      </w:pPr>
      <w:r>
        <w:t>B.2 MTU业务解释框架与残差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6F8FA"/>
          </w:tcPr>
          <w:p>
            <w:pPr>
              <w:spacing w:after="0"/>
            </w:pPr>
            <w:r>
              <w:rPr>
                <w:rFonts w:ascii="Consolas" w:hAnsi="Consolas" w:eastAsia="微软雅黑"/>
                <w:color w:val="24292F"/>
                <w:sz w:val="16"/>
              </w:rPr>
              <w:t>SELECT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week_num,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SUM(first_trade_uv) AS first_trade_cnt,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SUM(recall_uv) AS recall_cnt,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SUM(churn_uv) AS churn_cnt,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(SUM(first_trade_uv) + SUM(recall_uv) - SUM(churn_uv)) / 10000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  AS theoretical_change_wan,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MAX(mtu_wan_end_of_week)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  - LAG(MAX(mtu_wan_end_of_week)) OVER (ORDER BY week_num)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  AS actual_change_wan,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(MAX(mtu_wan_end_of_week)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  - LAG(MAX(mtu_wan_end_of_week)) OVER (ORDER BY week_num))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  - (SUM(first_trade_uv) + SUM(recall_uv) - SUM(churn_uv)) / 10000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  AS difference_wan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>FROM daily_funnel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>GROUP BY week_num;</w:t>
            </w:r>
          </w:p>
        </w:tc>
      </w:tr>
    </w:tbl>
    <w:p>
      <w:pPr>
        <w:spacing w:after="20"/>
      </w:pPr>
    </w:p>
    <w:p>
      <w:pPr>
        <w:pStyle w:val="Heading2"/>
      </w:pPr>
      <w:r>
        <w:t>B.3 Tier异常增量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6F8FA"/>
          </w:tcPr>
          <w:p>
            <w:pPr>
              <w:spacing w:after="0"/>
            </w:pPr>
            <w:r>
              <w:rPr>
                <w:rFonts w:ascii="Consolas" w:hAnsi="Consolas" w:eastAsia="微软雅黑"/>
                <w:color w:val="24292F"/>
                <w:sz w:val="16"/>
              </w:rPr>
              <w:t>WITH tier_churn AS (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SELECT week_num, tier, user_count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FROM weekly_tier_events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WHERE event = '转沉默'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>)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>SELECT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week_num,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tier,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user_count,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user_count - LAG(user_count) OVER (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  PARTITION BY tier ORDER BY week_num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) AS churn_change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>FROM tier_churn;</w:t>
            </w:r>
          </w:p>
        </w:tc>
      </w:tr>
    </w:tbl>
    <w:p>
      <w:pPr>
        <w:spacing w:after="20"/>
      </w:pPr>
    </w:p>
    <w:p>
      <w:pPr>
        <w:pStyle w:val="Heading2"/>
      </w:pPr>
      <w:r>
        <w:t>B.4 重点国家重度转沉默增量（20%明细样本）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6F8FA"/>
          </w:tcPr>
          <w:p>
            <w:pPr>
              <w:spacing w:after="0"/>
            </w:pPr>
            <w:r>
              <w:rPr>
                <w:rFonts w:ascii="Consolas" w:hAnsi="Consolas" w:eastAsia="微软雅黑"/>
                <w:color w:val="24292F"/>
                <w:sz w:val="16"/>
              </w:rPr>
              <w:t>WITH country_churn AS (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SELECT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  week_num,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  country,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  COUNT(*) AS churn_user_cnt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FROM user_event_detail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WHERE week_num IN ('W16', 'W17')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AND event = '转沉默'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AND tier = '重度用户'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GROUP BY week_num, country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>)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>SELECT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week_num,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country,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churn_user_cnt,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churn_user_cnt - LAG(churn_user_cnt) OVER (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  PARTITION BY country ORDER BY week_num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) AS change_cnt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>FROM country_churn;</w:t>
            </w:r>
          </w:p>
        </w:tc>
      </w:tr>
    </w:tbl>
    <w:p>
      <w:pPr>
        <w:spacing w:after="20"/>
      </w:pPr>
    </w:p>
    <w:p>
      <w:pPr>
        <w:pStyle w:val="Heading2"/>
      </w:pPr>
      <w:r>
        <w:t>B.5 D国重度转沉默用户注册批次（20%明细样本）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6F8FA"/>
          </w:tcPr>
          <w:p>
            <w:pPr>
              <w:spacing w:after="0"/>
            </w:pPr>
            <w:r>
              <w:rPr>
                <w:rFonts w:ascii="Consolas" w:hAnsi="Consolas" w:eastAsia="微软雅黑"/>
                <w:color w:val="24292F"/>
                <w:sz w:val="16"/>
              </w:rPr>
              <w:t>SELECT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register_week,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  COUNT(*) AS user_cnt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>FROM user_event_detail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>WHERE week_num = 'W17'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AND event = '转沉默'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AND tier = '重度用户'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 xml:space="preserve">  AND country = 'D国'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>GROUP BY register_week</w:t>
            </w:r>
            <w:r>
              <w:br/>
            </w:r>
            <w:r>
              <w:rPr>
                <w:rFonts w:ascii="Consolas" w:hAnsi="Consolas" w:eastAsia="微软雅黑"/>
                <w:color w:val="24292F"/>
                <w:sz w:val="16"/>
              </w:rPr>
              <w:t>ORDER BY register_week;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38" w:bottom="1037" w:left="1238" w:header="504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67085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微软雅黑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667085"/>
        <w:sz w:val="16"/>
      </w:rPr>
      <w:t>K交易所 · MTU趋势下滑归因分析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微软雅黑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  <w:rPr>
      <w:rFonts w:ascii="Microsoft YaHei" w:hAnsi="Microsoft YaHei" w:eastAsia="微软雅黑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  <w:rPr>
      <w:rFonts w:ascii="Microsoft YaHei" w:hAnsi="Microsoft YaHei" w:eastAsia="微软雅黑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  <w:rPr>
      <w:rFonts w:ascii="Microsoft YaHei" w:hAnsi="Microsoft YaHei" w:eastAsia="微软雅黑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/>
      <w:bCs/>
      <w:color w:val="6670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MTU趋势下滑归因分析报告</dc:title>
  <dc:subject>W14-W22 MTU异常定位、客群归因与三个月行动方案</dc:subject>
  <dc:creator>数据分析项目</dc:creator>
  <cp:keywords>MTU, 用户留存, 转沉默, 召回, 预警, BI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