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118DD710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Pr="00F7205F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8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9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AJ </w:t>
      </w:r>
      <w:proofErr w:type="spellStart"/>
      <w:r>
        <w:rPr>
          <w:rFonts w:ascii="Calibri" w:hAnsi="Calibri" w:cs="Calibri"/>
          <w:sz w:val="22"/>
          <w:szCs w:val="24"/>
        </w:rPr>
        <w:t>Mularo</w:t>
      </w:r>
      <w:proofErr w:type="spellEnd"/>
      <w:r>
        <w:rPr>
          <w:rFonts w:ascii="Calibri" w:hAnsi="Calibri" w:cs="Calibri"/>
          <w:sz w:val="22"/>
          <w:szCs w:val="24"/>
        </w:rPr>
        <w:t>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Hirundo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rustica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gutturalis</w:t>
      </w:r>
      <w:proofErr w:type="spellEnd"/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</w:t>
      </w:r>
      <w:proofErr w:type="spellStart"/>
      <w:r>
        <w:rPr>
          <w:rFonts w:ascii="Calibri" w:hAnsi="Calibri" w:cs="Calibri"/>
          <w:sz w:val="22"/>
          <w:szCs w:val="24"/>
        </w:rPr>
        <w:t>Poyarkov</w:t>
      </w:r>
      <w:proofErr w:type="spellEnd"/>
      <w:r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 Kim, I Maslova, J Luedtke, L Hobin, N </w:t>
      </w:r>
      <w:proofErr w:type="spellStart"/>
      <w:r>
        <w:rPr>
          <w:rFonts w:ascii="Calibri" w:hAnsi="Calibri" w:cs="Calibri"/>
          <w:sz w:val="22"/>
          <w:szCs w:val="24"/>
        </w:rPr>
        <w:t>Moores</w:t>
      </w:r>
      <w:proofErr w:type="spellEnd"/>
      <w:r>
        <w:rPr>
          <w:rFonts w:ascii="Calibri" w:hAnsi="Calibri" w:cs="Calibri"/>
          <w:sz w:val="22"/>
          <w:szCs w:val="24"/>
        </w:rPr>
        <w:t>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047A475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Aquarana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catesbeiana</w:t>
      </w:r>
      <w:proofErr w:type="spellEnd"/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Dolomedes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sulfureus</w:t>
      </w:r>
      <w:proofErr w:type="spellEnd"/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</w:t>
      </w:r>
      <w:proofErr w:type="spellStart"/>
      <w:r>
        <w:rPr>
          <w:rFonts w:ascii="Calibri" w:hAnsi="Calibri" w:cs="Calibri"/>
          <w:sz w:val="22"/>
          <w:szCs w:val="24"/>
        </w:rPr>
        <w:t>Bombinatoridae</w:t>
      </w:r>
      <w:proofErr w:type="spellEnd"/>
      <w:r>
        <w:rPr>
          <w:rFonts w:ascii="Calibri" w:hAnsi="Calibri" w:cs="Calibri"/>
          <w:sz w:val="22"/>
          <w:szCs w:val="24"/>
        </w:rPr>
        <w:t>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notialis</w:t>
      </w:r>
      <w:proofErr w:type="spellEnd"/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</w:t>
      </w:r>
      <w:proofErr w:type="spellStart"/>
      <w:r>
        <w:rPr>
          <w:rFonts w:ascii="Calibri" w:hAnsi="Calibri" w:cs="Calibri"/>
          <w:sz w:val="22"/>
          <w:szCs w:val="24"/>
        </w:rPr>
        <w:t>Dicephalism</w:t>
      </w:r>
      <w:proofErr w:type="spellEnd"/>
      <w:r>
        <w:rPr>
          <w:rFonts w:ascii="Calibri" w:hAnsi="Calibri" w:cs="Calibri"/>
          <w:sz w:val="22"/>
          <w:szCs w:val="24"/>
        </w:rPr>
        <w:t>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4D5ED195" w14:textId="3C28F288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lastRenderedPageBreak/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3AAFA" w14:textId="77777777" w:rsidR="00B144C4" w:rsidRDefault="00B144C4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8CB1FE5" w14:textId="77777777" w:rsidR="00B144C4" w:rsidRDefault="00B144C4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B25EE" w14:textId="77777777" w:rsidR="00B144C4" w:rsidRDefault="00B144C4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6ED98A47" w14:textId="77777777" w:rsidR="00B144C4" w:rsidRDefault="00B144C4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41E6"/>
    <w:rsid w:val="00930992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C049ED"/>
    <w:rsid w:val="00C81B91"/>
    <w:rsid w:val="00CA5C1F"/>
    <w:rsid w:val="00CB5897"/>
    <w:rsid w:val="00CC3F65"/>
    <w:rsid w:val="00CD54B3"/>
    <w:rsid w:val="00D568F0"/>
    <w:rsid w:val="00D741C8"/>
    <w:rsid w:val="00DC269D"/>
    <w:rsid w:val="00DC44F0"/>
    <w:rsid w:val="00E3168B"/>
    <w:rsid w:val="00E528B2"/>
    <w:rsid w:val="00E53FCC"/>
    <w:rsid w:val="00E57DF5"/>
    <w:rsid w:val="00E65C75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cheols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ongersmai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Yucheol_Sh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2023-10-21T12:27:00Z</cp:lastPrinted>
  <dcterms:created xsi:type="dcterms:W3CDTF">2024-03-24T07:19:00Z</dcterms:created>
  <dcterms:modified xsi:type="dcterms:W3CDTF">2024-08-02T10:06:00Z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