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875F0" w14:textId="5C01BF7A" w:rsidR="007E13A9" w:rsidRDefault="00653343">
      <w:r>
        <w:t>The Laws of Logic and</w:t>
      </w:r>
      <w:r w:rsidR="004F42C6">
        <w:t xml:space="preserve"> the</w:t>
      </w:r>
      <w:r>
        <w:t xml:space="preserve"> Inference Rules</w:t>
      </w:r>
    </w:p>
    <w:p w14:paraId="3CFE7A0C" w14:textId="77777777" w:rsidR="00EF49BE" w:rsidRDefault="00EF49BE"/>
    <w:p w14:paraId="3F69E599" w14:textId="18ED858B" w:rsidR="00856862" w:rsidRDefault="00EF49BE" w:rsidP="00E23C92">
      <w:pPr>
        <w:spacing w:line="288" w:lineRule="auto"/>
      </w:pPr>
      <w:r>
        <w:t xml:space="preserve">        The rules of inference play an important role in the Russellian logic. For instance, </w:t>
      </w:r>
      <w:r w:rsidR="00BD2AEE">
        <w:t xml:space="preserve">Bertrand </w:t>
      </w:r>
      <w:r>
        <w:t xml:space="preserve">Russell argues </w:t>
      </w:r>
      <w:r w:rsidR="00E23C92">
        <w:t xml:space="preserve">in his </w:t>
      </w:r>
      <w:r w:rsidR="00E23C92">
        <w:rPr>
          <w:i/>
        </w:rPr>
        <w:t>Principia Mathematic</w:t>
      </w:r>
      <w:r w:rsidR="00E23C92">
        <w:t xml:space="preserve"> that “Anything implied by a true premiss is true Pp. This is the rule which </w:t>
      </w:r>
      <w:r w:rsidR="00E23C92" w:rsidRPr="00E23C92">
        <w:rPr>
          <w:i/>
        </w:rPr>
        <w:t>justifies</w:t>
      </w:r>
      <w:r w:rsidR="00E23C92">
        <w:t xml:space="preserve"> inference.” </w:t>
      </w:r>
      <w:r w:rsidR="00BD2AEE">
        <w:t xml:space="preserve">Ludwig </w:t>
      </w:r>
      <w:r w:rsidR="00E23C92">
        <w:t xml:space="preserve">Wittgenstein, in contrast, is of the opposite view that </w:t>
      </w:r>
      <w:r w:rsidR="00982007">
        <w:t>there are no such things as the rules of inference.</w:t>
      </w:r>
      <w:r w:rsidR="00C843D1">
        <w:t xml:space="preserve"> The view is illustrated by Wittgenstein’s significant distinction between </w:t>
      </w:r>
      <w:r w:rsidR="00C843D1">
        <w:rPr>
          <w:i/>
        </w:rPr>
        <w:t>say</w:t>
      </w:r>
      <w:r w:rsidR="00C843D1">
        <w:t xml:space="preserve"> and </w:t>
      </w:r>
      <w:r w:rsidR="00C843D1">
        <w:rPr>
          <w:i/>
        </w:rPr>
        <w:t>show</w:t>
      </w:r>
      <w:r w:rsidR="00C843D1">
        <w:t xml:space="preserve">, which is a main theme throughout his </w:t>
      </w:r>
      <w:r w:rsidR="00C843D1">
        <w:rPr>
          <w:i/>
        </w:rPr>
        <w:t>Tractatus Logico-Philosophicus.</w:t>
      </w:r>
      <w:r w:rsidR="00BD2AEE">
        <w:t xml:space="preserve"> According to Wittgenstein, a proposition </w:t>
      </w:r>
      <w:r w:rsidR="00BD2AEE" w:rsidRPr="00BD2AEE">
        <w:rPr>
          <w:i/>
        </w:rPr>
        <w:t>shows</w:t>
      </w:r>
      <w:r w:rsidR="00BD2AEE">
        <w:t xml:space="preserve"> what follows and does not follow it. In other words, if one understands a proposition, then he or she will </w:t>
      </w:r>
      <w:r w:rsidR="00BD2AEE" w:rsidRPr="00BD2AEE">
        <w:rPr>
          <w:i/>
        </w:rPr>
        <w:t>simultaneously</w:t>
      </w:r>
      <w:r w:rsidR="00BD2AEE">
        <w:t xml:space="preserve"> understa</w:t>
      </w:r>
      <w:r w:rsidR="00872FE1">
        <w:t>nd all propositions that follow it.</w:t>
      </w:r>
      <w:r w:rsidR="00AD4D76">
        <w:t xml:space="preserve"> For instance, if one understands the proposition “All humans are mortal,” then </w:t>
      </w:r>
      <w:r w:rsidR="00AD4D76" w:rsidRPr="00AD4D76">
        <w:rPr>
          <w:i/>
        </w:rPr>
        <w:t>from this proposition itself</w:t>
      </w:r>
      <w:r w:rsidR="00AD4D76">
        <w:t xml:space="preserve">, he or she will understand the proposition “Socrates is mortal,” </w:t>
      </w:r>
      <w:r w:rsidR="00DE186B">
        <w:t>without knowing anythi</w:t>
      </w:r>
      <w:r w:rsidR="00856862">
        <w:t xml:space="preserve">ng about the so-called rule of </w:t>
      </w:r>
      <w:r w:rsidR="00856862" w:rsidRPr="00856862">
        <w:rPr>
          <w:i/>
        </w:rPr>
        <w:t>universal instantiation</w:t>
      </w:r>
      <w:r w:rsidR="00856862">
        <w:t>:</w:t>
      </w:r>
    </w:p>
    <w:p w14:paraId="6B28D4C6" w14:textId="2EC1A770" w:rsidR="00856862" w:rsidRPr="00856862" w:rsidRDefault="00856862" w:rsidP="00856862">
      <w:pPr>
        <w:spacing w:line="288" w:lineRule="auto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407693A7" w14:textId="713693D8" w:rsidR="00856862" w:rsidRDefault="00856862" w:rsidP="00856862">
      <w:pPr>
        <w:spacing w:line="288" w:lineRule="auto"/>
        <w:rPr>
          <w:rFonts w:eastAsiaTheme="minorEastAsia"/>
        </w:rPr>
      </w:pPr>
      <w:r>
        <w:rPr>
          <w:rFonts w:eastAsiaTheme="minorEastAsia"/>
        </w:rPr>
        <w:t xml:space="preserve">For the latter proposition is </w:t>
      </w:r>
      <w:r w:rsidRPr="00856862">
        <w:rPr>
          <w:rFonts w:eastAsiaTheme="minorEastAsia"/>
          <w:i/>
        </w:rPr>
        <w:t>shown</w:t>
      </w:r>
      <w:r>
        <w:rPr>
          <w:rFonts w:eastAsiaTheme="minorEastAsia"/>
        </w:rPr>
        <w:t xml:space="preserve"> by the former proposition, from the sense presented by the former proposition.</w:t>
      </w:r>
      <w:r w:rsidR="004B1628">
        <w:rPr>
          <w:rFonts w:eastAsiaTheme="minorEastAsia"/>
        </w:rPr>
        <w:t xml:space="preserve"> Logical inference is a truth-preserving </w:t>
      </w:r>
      <w:r w:rsidR="004B1628" w:rsidRPr="004B1628">
        <w:rPr>
          <w:rFonts w:eastAsiaTheme="minorEastAsia"/>
          <w:i/>
        </w:rPr>
        <w:t>relation</w:t>
      </w:r>
      <w:r w:rsidR="004B1628">
        <w:rPr>
          <w:rFonts w:eastAsiaTheme="minorEastAsia"/>
        </w:rPr>
        <w:t xml:space="preserve"> between two propositions</w:t>
      </w:r>
      <w:r w:rsidR="00585388">
        <w:rPr>
          <w:rFonts w:eastAsiaTheme="minorEastAsia"/>
        </w:rPr>
        <w:t>,</w:t>
      </w:r>
      <w:r w:rsidR="004B1628">
        <w:rPr>
          <w:rFonts w:eastAsiaTheme="minorEastAsia"/>
        </w:rPr>
        <w:t xml:space="preserve"> without appealing to external rules of inference.</w:t>
      </w:r>
      <w:r w:rsidR="00585388">
        <w:rPr>
          <w:rFonts w:eastAsiaTheme="minorEastAsia"/>
        </w:rPr>
        <w:t xml:space="preserve"> It is simply and solely </w:t>
      </w:r>
      <w:r w:rsidR="00585388" w:rsidRPr="00585388">
        <w:rPr>
          <w:rFonts w:eastAsiaTheme="minorEastAsia"/>
          <w:i/>
        </w:rPr>
        <w:t>shown</w:t>
      </w:r>
      <w:r w:rsidR="00585388">
        <w:rPr>
          <w:rFonts w:eastAsiaTheme="minorEastAsia"/>
        </w:rPr>
        <w:t xml:space="preserve"> and </w:t>
      </w:r>
      <w:r w:rsidR="00585388" w:rsidRPr="00585388">
        <w:rPr>
          <w:rFonts w:eastAsiaTheme="minorEastAsia"/>
          <w:i/>
        </w:rPr>
        <w:t>justified</w:t>
      </w:r>
      <w:r w:rsidR="00585388">
        <w:rPr>
          <w:rFonts w:eastAsiaTheme="minorEastAsia"/>
        </w:rPr>
        <w:t xml:space="preserve"> by the two propositions that are involved rather than by the so-called rules of inference.</w:t>
      </w:r>
      <w:r w:rsidR="007F3194">
        <w:rPr>
          <w:rFonts w:eastAsiaTheme="minorEastAsia"/>
        </w:rPr>
        <w:t xml:space="preserve"> For what follows from a proposition is determined by the internal structures of the signs in the proposition, which mirror the internal structures of the corresponding objects in the world.</w:t>
      </w:r>
      <w:r w:rsidR="00082FAA">
        <w:rPr>
          <w:rFonts w:eastAsiaTheme="minorEastAsia"/>
        </w:rPr>
        <w:t xml:space="preserve"> Wittgenstein holds that the rules of inference in the Russellian logic is </w:t>
      </w:r>
      <w:r w:rsidR="007D79ED">
        <w:rPr>
          <w:rFonts w:eastAsiaTheme="minorEastAsia"/>
        </w:rPr>
        <w:t>no</w:t>
      </w:r>
      <w:r w:rsidR="00082FAA">
        <w:rPr>
          <w:rFonts w:eastAsiaTheme="minorEastAsia"/>
        </w:rPr>
        <w:t xml:space="preserve"> more than superfluous and senseless second-hand afterthoughts that abstract and summarize what is happening</w:t>
      </w:r>
      <w:r w:rsidR="009A5177">
        <w:rPr>
          <w:rFonts w:eastAsiaTheme="minorEastAsia"/>
        </w:rPr>
        <w:t xml:space="preserve">. </w:t>
      </w:r>
      <w:r w:rsidR="00EF5226">
        <w:rPr>
          <w:rFonts w:eastAsiaTheme="minorEastAsia"/>
        </w:rPr>
        <w:t>They</w:t>
      </w:r>
      <w:r w:rsidR="00082FAA">
        <w:rPr>
          <w:rFonts w:eastAsiaTheme="minorEastAsia"/>
        </w:rPr>
        <w:t xml:space="preserve"> are not needed in logical inference and express nothing about states of affairs in the world.</w:t>
      </w:r>
    </w:p>
    <w:p w14:paraId="73C1F4AD" w14:textId="1EE71233" w:rsidR="00287CCC" w:rsidRDefault="00287CCC" w:rsidP="00856862">
      <w:pPr>
        <w:spacing w:line="288" w:lineRule="auto"/>
        <w:rPr>
          <w:rFonts w:eastAsiaTheme="minorEastAsia"/>
        </w:rPr>
      </w:pPr>
      <w:r>
        <w:rPr>
          <w:rFonts w:eastAsiaTheme="minorEastAsia"/>
        </w:rPr>
        <w:t xml:space="preserve">        Another major divergence of Wittgenstein’</w:t>
      </w:r>
      <w:r w:rsidR="00965336">
        <w:rPr>
          <w:rFonts w:eastAsiaTheme="minorEastAsia"/>
        </w:rPr>
        <w:t>s theory</w:t>
      </w:r>
      <w:r>
        <w:rPr>
          <w:rFonts w:eastAsiaTheme="minorEastAsia"/>
        </w:rPr>
        <w:t xml:space="preserve"> on logic </w:t>
      </w:r>
      <w:r w:rsidR="002D41A4">
        <w:rPr>
          <w:rFonts w:eastAsiaTheme="minorEastAsia"/>
        </w:rPr>
        <w:t>from Russell</w:t>
      </w:r>
      <w:r w:rsidR="00D04D76">
        <w:rPr>
          <w:rFonts w:eastAsiaTheme="minorEastAsia"/>
        </w:rPr>
        <w:t>’s</w:t>
      </w:r>
      <w:r w:rsidR="0021139A">
        <w:rPr>
          <w:rFonts w:eastAsiaTheme="minorEastAsia"/>
        </w:rPr>
        <w:t xml:space="preserve"> is the laws of logic.</w:t>
      </w:r>
      <w:r w:rsidR="002D41A4">
        <w:rPr>
          <w:rFonts w:eastAsiaTheme="minorEastAsia"/>
        </w:rPr>
        <w:t xml:space="preserve"> In the Russellian logic, the laws of logic, such as the law of excluded middle </w:t>
      </w:r>
      <m:oMath>
        <m:r>
          <w:rPr>
            <w:rFonts w:ascii="Cambria Math" w:eastAsiaTheme="minorEastAsia" w:hAnsi="Cambria Math"/>
          </w:rPr>
          <m:t>p∨~p</m:t>
        </m:r>
      </m:oMath>
      <w:r w:rsidR="002D41A4">
        <w:rPr>
          <w:rFonts w:eastAsiaTheme="minorEastAsia"/>
        </w:rPr>
        <w:t xml:space="preserve"> and the law of non-contradiction </w:t>
      </w:r>
      <m:oMath>
        <m:r>
          <w:rPr>
            <w:rFonts w:ascii="Cambria Math" w:eastAsiaTheme="minorEastAsia" w:hAnsi="Cambria Math"/>
          </w:rPr>
          <m:t>~(p∙~p)</m:t>
        </m:r>
      </m:oMath>
      <w:r w:rsidR="002D41A4">
        <w:rPr>
          <w:rFonts w:eastAsiaTheme="minorEastAsia"/>
        </w:rPr>
        <w:t xml:space="preserve">, are used to express the </w:t>
      </w:r>
      <w:r w:rsidR="002D41A4" w:rsidRPr="00A83401">
        <w:rPr>
          <w:rFonts w:eastAsiaTheme="minorEastAsia"/>
          <w:i/>
        </w:rPr>
        <w:t>eternal</w:t>
      </w:r>
      <w:r w:rsidR="002D41A4">
        <w:rPr>
          <w:rFonts w:eastAsiaTheme="minorEastAsia"/>
        </w:rPr>
        <w:t xml:space="preserve">, </w:t>
      </w:r>
      <w:r w:rsidR="002D41A4" w:rsidRPr="00A83401">
        <w:rPr>
          <w:rFonts w:eastAsiaTheme="minorEastAsia"/>
          <w:i/>
        </w:rPr>
        <w:t>necessary</w:t>
      </w:r>
      <w:r w:rsidR="002D41A4">
        <w:rPr>
          <w:rFonts w:eastAsiaTheme="minorEastAsia"/>
        </w:rPr>
        <w:t xml:space="preserve">, </w:t>
      </w:r>
      <w:r w:rsidR="002D41A4" w:rsidRPr="00A83401">
        <w:rPr>
          <w:rFonts w:eastAsiaTheme="minorEastAsia"/>
          <w:i/>
        </w:rPr>
        <w:t>subsisting</w:t>
      </w:r>
      <w:r w:rsidR="002D41A4">
        <w:rPr>
          <w:rFonts w:eastAsiaTheme="minorEastAsia"/>
        </w:rPr>
        <w:t xml:space="preserve"> truths which are located in the third realm.</w:t>
      </w:r>
      <w:r w:rsidR="001137D8">
        <w:rPr>
          <w:rFonts w:eastAsiaTheme="minorEastAsia"/>
        </w:rPr>
        <w:t xml:space="preserve"> Wittgenstein dissents from Russell by holding that the laws of logic say nothing about the world and that they are senseless.</w:t>
      </w:r>
      <w:r w:rsidR="00B83D05">
        <w:rPr>
          <w:rFonts w:eastAsiaTheme="minorEastAsia"/>
        </w:rPr>
        <w:t xml:space="preserve"> </w:t>
      </w:r>
      <w:r w:rsidR="00517B29">
        <w:rPr>
          <w:rFonts w:eastAsiaTheme="minorEastAsia"/>
        </w:rPr>
        <w:t xml:space="preserve">Wittgenstein </w:t>
      </w:r>
      <w:r w:rsidR="004C667C">
        <w:rPr>
          <w:rFonts w:eastAsiaTheme="minorEastAsia"/>
        </w:rPr>
        <w:t>categorizes the truth-functions of a specific number of truth-arguments into three kinds:</w:t>
      </w:r>
      <w:r w:rsidR="00B83D05">
        <w:rPr>
          <w:rFonts w:eastAsiaTheme="minorEastAsia"/>
        </w:rPr>
        <w:t xml:space="preserve"> the tautology</w:t>
      </w:r>
      <w:r w:rsidR="007B1BAB">
        <w:rPr>
          <w:rFonts w:eastAsiaTheme="minorEastAsia"/>
        </w:rPr>
        <w:t xml:space="preserve"> (</w:t>
      </w:r>
      <w:r w:rsidR="006D4B40">
        <w:rPr>
          <w:rFonts w:eastAsiaTheme="minorEastAsia"/>
        </w:rPr>
        <w:t>always true</w:t>
      </w:r>
      <w:r w:rsidR="000D3299">
        <w:rPr>
          <w:rFonts w:eastAsiaTheme="minorEastAsia"/>
        </w:rPr>
        <w:t>)</w:t>
      </w:r>
      <w:r w:rsidR="00B83D05">
        <w:rPr>
          <w:rFonts w:eastAsiaTheme="minorEastAsia"/>
        </w:rPr>
        <w:t>, the contradiction</w:t>
      </w:r>
      <w:r w:rsidR="009A5177">
        <w:rPr>
          <w:rFonts w:eastAsiaTheme="minorEastAsia"/>
        </w:rPr>
        <w:t xml:space="preserve"> (always false)</w:t>
      </w:r>
      <w:r w:rsidR="00B83D05">
        <w:rPr>
          <w:rFonts w:eastAsiaTheme="minorEastAsia"/>
        </w:rPr>
        <w:t xml:space="preserve">, and </w:t>
      </w:r>
      <w:r w:rsidR="009A5177">
        <w:rPr>
          <w:rFonts w:eastAsiaTheme="minorEastAsia"/>
        </w:rPr>
        <w:t>significant truth-functions (sometimes true and sometimes false).</w:t>
      </w:r>
      <w:r w:rsidR="006D0D44">
        <w:rPr>
          <w:rFonts w:eastAsiaTheme="minorEastAsia"/>
        </w:rPr>
        <w:t xml:space="preserve"> The laws of logic, such as </w:t>
      </w:r>
      <m:oMath>
        <m:r>
          <w:rPr>
            <w:rFonts w:ascii="Cambria Math" w:eastAsiaTheme="minorEastAsia" w:hAnsi="Cambria Math"/>
          </w:rPr>
          <m:t>p∨~p</m:t>
        </m:r>
      </m:oMath>
      <w:r w:rsidR="006D0D44">
        <w:rPr>
          <w:rFonts w:eastAsiaTheme="minorEastAsia"/>
        </w:rPr>
        <w:t>, are tautologies, and</w:t>
      </w:r>
      <w:r w:rsidR="009233EA">
        <w:rPr>
          <w:rFonts w:eastAsiaTheme="minorEastAsia"/>
        </w:rPr>
        <w:t xml:space="preserve"> are hence unconditionally true</w:t>
      </w:r>
      <w:r w:rsidR="00FA5D1D">
        <w:rPr>
          <w:rFonts w:eastAsiaTheme="minorEastAsia"/>
        </w:rPr>
        <w:t xml:space="preserve">, that is, they are indifferent to the </w:t>
      </w:r>
      <w:r w:rsidR="00924092">
        <w:rPr>
          <w:rFonts w:eastAsiaTheme="minorEastAsia"/>
        </w:rPr>
        <w:t xml:space="preserve">facts and </w:t>
      </w:r>
      <w:r w:rsidR="00E95DBC">
        <w:rPr>
          <w:rFonts w:eastAsiaTheme="minorEastAsia"/>
        </w:rPr>
        <w:t>hence</w:t>
      </w:r>
      <w:r w:rsidR="00F95456">
        <w:rPr>
          <w:rFonts w:eastAsiaTheme="minorEastAsia"/>
        </w:rPr>
        <w:t xml:space="preserve"> </w:t>
      </w:r>
      <w:r w:rsidR="00924092">
        <w:rPr>
          <w:rFonts w:eastAsiaTheme="minorEastAsia"/>
        </w:rPr>
        <w:t>to the world</w:t>
      </w:r>
      <w:r w:rsidR="009233EA">
        <w:rPr>
          <w:rFonts w:eastAsiaTheme="minorEastAsia"/>
        </w:rPr>
        <w:t>.</w:t>
      </w:r>
      <w:r w:rsidR="008E3E3C">
        <w:rPr>
          <w:rFonts w:eastAsiaTheme="minorEastAsia"/>
        </w:rPr>
        <w:t xml:space="preserve"> </w:t>
      </w:r>
      <w:r w:rsidR="00177986">
        <w:rPr>
          <w:rFonts w:eastAsiaTheme="minorEastAsia"/>
        </w:rPr>
        <w:t>Since the reality is what is the case,</w:t>
      </w:r>
      <w:r w:rsidR="001D6179">
        <w:rPr>
          <w:rFonts w:eastAsiaTheme="minorEastAsia"/>
        </w:rPr>
        <w:t xml:space="preserve"> </w:t>
      </w:r>
      <w:r w:rsidR="007B51B1">
        <w:rPr>
          <w:rFonts w:eastAsiaTheme="minorEastAsia"/>
        </w:rPr>
        <w:t>then</w:t>
      </w:r>
      <w:r w:rsidR="001D6179">
        <w:rPr>
          <w:rFonts w:eastAsiaTheme="minorEastAsia"/>
        </w:rPr>
        <w:t xml:space="preserve"> the laws of logic are not pictures of the reality, and therefore </w:t>
      </w:r>
      <w:r w:rsidR="00177986">
        <w:rPr>
          <w:rFonts w:eastAsiaTheme="minorEastAsia"/>
        </w:rPr>
        <w:t>express</w:t>
      </w:r>
      <w:r w:rsidR="00F37F39">
        <w:rPr>
          <w:rFonts w:eastAsiaTheme="minorEastAsia"/>
        </w:rPr>
        <w:t xml:space="preserve"> nothing</w:t>
      </w:r>
      <w:r w:rsidR="00762F29">
        <w:rPr>
          <w:rFonts w:eastAsiaTheme="minorEastAsia"/>
        </w:rPr>
        <w:t xml:space="preserve"> (significant)</w:t>
      </w:r>
      <w:r w:rsidR="00F37F39">
        <w:rPr>
          <w:rFonts w:eastAsiaTheme="minorEastAsia"/>
        </w:rPr>
        <w:t xml:space="preserve"> about the world;</w:t>
      </w:r>
      <w:r w:rsidR="001D6179">
        <w:rPr>
          <w:rFonts w:eastAsiaTheme="minorEastAsia"/>
        </w:rPr>
        <w:t xml:space="preserve"> i.e. they are nonsensical.</w:t>
      </w:r>
      <w:r w:rsidR="00DC78FA">
        <w:rPr>
          <w:rFonts w:eastAsiaTheme="minorEastAsia"/>
        </w:rPr>
        <w:t xml:space="preserve"> </w:t>
      </w:r>
      <w:r w:rsidR="00DC78FA">
        <w:rPr>
          <w:rFonts w:eastAsiaTheme="minorEastAsia"/>
        </w:rPr>
        <w:t xml:space="preserve">In other words, the laws of logic are </w:t>
      </w:r>
      <w:r w:rsidR="00DC78FA">
        <w:rPr>
          <w:rFonts w:eastAsiaTheme="minorEastAsia"/>
          <w:i/>
        </w:rPr>
        <w:t>analytical</w:t>
      </w:r>
      <w:r w:rsidR="00DC78FA">
        <w:rPr>
          <w:rFonts w:eastAsiaTheme="minorEastAsia"/>
        </w:rPr>
        <w:t xml:space="preserve">, in the sense that their truths can be determined directly from their </w:t>
      </w:r>
      <w:r w:rsidR="00163D94">
        <w:rPr>
          <w:rFonts w:eastAsiaTheme="minorEastAsia"/>
        </w:rPr>
        <w:t>descriptions</w:t>
      </w:r>
      <w:r w:rsidR="00DC78FA">
        <w:rPr>
          <w:rFonts w:eastAsiaTheme="minorEastAsia"/>
        </w:rPr>
        <w:t xml:space="preserve"> without</w:t>
      </w:r>
      <w:r w:rsidR="00D313F4">
        <w:rPr>
          <w:rFonts w:eastAsiaTheme="minorEastAsia"/>
        </w:rPr>
        <w:t xml:space="preserve"> mention being made of the meaning of their signs</w:t>
      </w:r>
      <w:r w:rsidR="00DC78FA">
        <w:rPr>
          <w:rFonts w:eastAsiaTheme="minorEastAsia"/>
        </w:rPr>
        <w:t>.</w:t>
      </w:r>
      <w:r w:rsidR="00CE1ED9">
        <w:rPr>
          <w:rFonts w:eastAsiaTheme="minorEastAsia"/>
        </w:rPr>
        <w:t xml:space="preserve"> For instance, if </w:t>
      </w:r>
      <m:oMath>
        <m:r>
          <w:rPr>
            <w:rFonts w:ascii="Cambria Math" w:eastAsiaTheme="minorEastAsia" w:hAnsi="Cambria Math"/>
          </w:rPr>
          <m:t>p</m:t>
        </m:r>
      </m:oMath>
      <w:r w:rsidR="00062158">
        <w:rPr>
          <w:rFonts w:eastAsiaTheme="minorEastAsia"/>
        </w:rPr>
        <w:t xml:space="preserve"> denotes the proposition “the flower is red,” then </w:t>
      </w:r>
      <m:oMath>
        <m:r>
          <w:rPr>
            <w:rFonts w:ascii="Cambria Math" w:eastAsiaTheme="minorEastAsia" w:hAnsi="Cambria Math"/>
          </w:rPr>
          <m:t>p∨~p</m:t>
        </m:r>
      </m:oMath>
      <w:r w:rsidR="00062158">
        <w:rPr>
          <w:rFonts w:eastAsiaTheme="minorEastAsia"/>
        </w:rPr>
        <w:t xml:space="preserve"> says “the flower is red or not red,” which is always true regardless of whether </w:t>
      </w:r>
      <w:r w:rsidR="00062158">
        <w:rPr>
          <w:rFonts w:eastAsiaTheme="minorEastAsia"/>
        </w:rPr>
        <w:lastRenderedPageBreak/>
        <w:t>the flower is red in reality.</w:t>
      </w:r>
      <w:r w:rsidR="00676DDB">
        <w:rPr>
          <w:rFonts w:eastAsiaTheme="minorEastAsia"/>
        </w:rPr>
        <w:t xml:space="preserve"> As Wittgenstein argues in 4.4611 of the </w:t>
      </w:r>
      <w:r w:rsidR="00676DDB">
        <w:rPr>
          <w:rFonts w:eastAsiaTheme="minorEastAsia"/>
          <w:i/>
        </w:rPr>
        <w:t>Tractatus</w:t>
      </w:r>
      <w:r w:rsidR="00676DDB">
        <w:rPr>
          <w:rFonts w:eastAsiaTheme="minorEastAsia"/>
        </w:rPr>
        <w:t>, the laws of logic</w:t>
      </w:r>
      <w:r w:rsidR="00312F98">
        <w:rPr>
          <w:rFonts w:eastAsiaTheme="minorEastAsia"/>
        </w:rPr>
        <w:t>, and tautologies in gener</w:t>
      </w:r>
      <w:r w:rsidR="005176E4">
        <w:rPr>
          <w:rFonts w:eastAsiaTheme="minorEastAsia"/>
        </w:rPr>
        <w:t>al,</w:t>
      </w:r>
      <w:r w:rsidR="00676DDB">
        <w:rPr>
          <w:rFonts w:eastAsiaTheme="minorEastAsia"/>
        </w:rPr>
        <w:t xml:space="preserve"> are merely part of the symbolism.</w:t>
      </w:r>
    </w:p>
    <w:p w14:paraId="3077AA25" w14:textId="48AC05B9" w:rsidR="00CF28C1" w:rsidRPr="00676DDB" w:rsidRDefault="00751847" w:rsidP="00B92D92">
      <w:pPr>
        <w:spacing w:line="288" w:lineRule="auto"/>
        <w:rPr>
          <w:rFonts w:eastAsiaTheme="minorEastAsia"/>
        </w:rPr>
      </w:pPr>
      <w:r>
        <w:rPr>
          <w:rFonts w:eastAsiaTheme="minorEastAsia"/>
        </w:rPr>
        <w:t xml:space="preserve">        However, that the laws of logic are senseless does not mean that they are </w:t>
      </w:r>
      <w:r w:rsidR="00DC3326">
        <w:rPr>
          <w:rFonts w:eastAsiaTheme="minorEastAsia"/>
        </w:rPr>
        <w:t>noises</w:t>
      </w:r>
      <w:r>
        <w:rPr>
          <w:rFonts w:eastAsiaTheme="minorEastAsia"/>
        </w:rPr>
        <w:t>.</w:t>
      </w:r>
      <w:r w:rsidR="00F92934">
        <w:rPr>
          <w:rFonts w:eastAsiaTheme="minorEastAsia"/>
        </w:rPr>
        <w:t xml:space="preserve"> Indeed, the laws of logic </w:t>
      </w:r>
      <w:r w:rsidR="00F92934" w:rsidRPr="00F92934">
        <w:rPr>
          <w:rFonts w:eastAsiaTheme="minorEastAsia"/>
          <w:i/>
        </w:rPr>
        <w:t>delimits</w:t>
      </w:r>
      <w:r w:rsidR="00F92934">
        <w:rPr>
          <w:rFonts w:eastAsiaTheme="minorEastAsia"/>
        </w:rPr>
        <w:t xml:space="preserve"> the logical space of the world, that is, the whole scope of all possible state of affairs.</w:t>
      </w:r>
      <w:r w:rsidR="00900D8B">
        <w:rPr>
          <w:rFonts w:eastAsiaTheme="minorEastAsia"/>
        </w:rPr>
        <w:t xml:space="preserve"> Therefore, they determine the boundary of what could be in the world, but say nothing about what is in the world.</w:t>
      </w:r>
      <w:r w:rsidR="00F121AD">
        <w:rPr>
          <w:rFonts w:eastAsiaTheme="minorEastAsia"/>
        </w:rPr>
        <w:t xml:space="preserve"> What is in the world, then, is said by significant propositions that express possible states of affairs, each of which occupies a place in the logical space demarcated by the laws of logic.</w:t>
      </w:r>
      <w:r w:rsidR="00AE3C7E">
        <w:rPr>
          <w:rFonts w:eastAsiaTheme="minorEastAsia"/>
        </w:rPr>
        <w:t xml:space="preserve"> </w:t>
      </w:r>
      <w:r w:rsidR="00881C1B">
        <w:rPr>
          <w:rFonts w:eastAsiaTheme="minorEastAsia"/>
        </w:rPr>
        <w:t>Since thoughts are isomorphic to possible facts in the world</w:t>
      </w:r>
      <w:r w:rsidR="0093327D">
        <w:rPr>
          <w:rFonts w:eastAsiaTheme="minorEastAsia"/>
        </w:rPr>
        <w:t xml:space="preserve"> according to Wittgenstein’s three-level hierarchy</w:t>
      </w:r>
      <w:r w:rsidR="00881C1B">
        <w:rPr>
          <w:rFonts w:eastAsiaTheme="minorEastAsia"/>
        </w:rPr>
        <w:t xml:space="preserve">, then the laws of logic </w:t>
      </w:r>
      <w:r w:rsidR="00881C1B" w:rsidRPr="00881C1B">
        <w:rPr>
          <w:rFonts w:eastAsiaTheme="minorEastAsia"/>
          <w:i/>
        </w:rPr>
        <w:t>are</w:t>
      </w:r>
      <w:r w:rsidR="00881C1B">
        <w:rPr>
          <w:rFonts w:eastAsiaTheme="minorEastAsia"/>
        </w:rPr>
        <w:t xml:space="preserve"> </w:t>
      </w:r>
      <w:r w:rsidR="000718F0">
        <w:rPr>
          <w:rFonts w:eastAsiaTheme="minorEastAsia"/>
        </w:rPr>
        <w:t xml:space="preserve">limits and </w:t>
      </w:r>
      <w:r w:rsidR="00881C1B">
        <w:rPr>
          <w:rFonts w:eastAsiaTheme="minorEastAsia"/>
        </w:rPr>
        <w:t>lines of demarcation of the thought within which we have significant thoughts, and beyond which we have contradictions.</w:t>
      </w:r>
      <w:bookmarkStart w:id="0" w:name="_GoBack"/>
      <w:bookmarkEnd w:id="0"/>
    </w:p>
    <w:sectPr w:rsidR="00CF28C1" w:rsidRPr="00676DDB" w:rsidSect="003C72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D78"/>
    <w:rsid w:val="000051F8"/>
    <w:rsid w:val="00062158"/>
    <w:rsid w:val="000718F0"/>
    <w:rsid w:val="00082FAA"/>
    <w:rsid w:val="000A1FA9"/>
    <w:rsid w:val="000D3299"/>
    <w:rsid w:val="001137D8"/>
    <w:rsid w:val="00115EF3"/>
    <w:rsid w:val="00124D95"/>
    <w:rsid w:val="00163D94"/>
    <w:rsid w:val="001756BD"/>
    <w:rsid w:val="00177986"/>
    <w:rsid w:val="00192109"/>
    <w:rsid w:val="0019603C"/>
    <w:rsid w:val="001D6179"/>
    <w:rsid w:val="001F484E"/>
    <w:rsid w:val="0021139A"/>
    <w:rsid w:val="00260365"/>
    <w:rsid w:val="00287CCC"/>
    <w:rsid w:val="002C387D"/>
    <w:rsid w:val="002D41A4"/>
    <w:rsid w:val="00306BBB"/>
    <w:rsid w:val="00312F98"/>
    <w:rsid w:val="003C72AF"/>
    <w:rsid w:val="004B1628"/>
    <w:rsid w:val="004C667C"/>
    <w:rsid w:val="004F42C6"/>
    <w:rsid w:val="005176E4"/>
    <w:rsid w:val="00517B29"/>
    <w:rsid w:val="00585388"/>
    <w:rsid w:val="00617BB8"/>
    <w:rsid w:val="00653343"/>
    <w:rsid w:val="006603EB"/>
    <w:rsid w:val="00676DDB"/>
    <w:rsid w:val="0068379D"/>
    <w:rsid w:val="006978ED"/>
    <w:rsid w:val="006D0D44"/>
    <w:rsid w:val="006D4B40"/>
    <w:rsid w:val="006D6013"/>
    <w:rsid w:val="00751847"/>
    <w:rsid w:val="00762F29"/>
    <w:rsid w:val="007B1BAB"/>
    <w:rsid w:val="007B51B1"/>
    <w:rsid w:val="007D4A5E"/>
    <w:rsid w:val="007D79ED"/>
    <w:rsid w:val="007E13A9"/>
    <w:rsid w:val="007F3194"/>
    <w:rsid w:val="00834859"/>
    <w:rsid w:val="00856862"/>
    <w:rsid w:val="00872FE1"/>
    <w:rsid w:val="008812E2"/>
    <w:rsid w:val="00881C1B"/>
    <w:rsid w:val="008A6D62"/>
    <w:rsid w:val="008D6D50"/>
    <w:rsid w:val="008E3E3C"/>
    <w:rsid w:val="00900D8B"/>
    <w:rsid w:val="00922993"/>
    <w:rsid w:val="009233EA"/>
    <w:rsid w:val="00924092"/>
    <w:rsid w:val="0093327D"/>
    <w:rsid w:val="009509F3"/>
    <w:rsid w:val="009620A2"/>
    <w:rsid w:val="00965336"/>
    <w:rsid w:val="009819F6"/>
    <w:rsid w:val="00982007"/>
    <w:rsid w:val="009A5177"/>
    <w:rsid w:val="009C2A48"/>
    <w:rsid w:val="009D19C6"/>
    <w:rsid w:val="009D7062"/>
    <w:rsid w:val="00A12F95"/>
    <w:rsid w:val="00A15A0A"/>
    <w:rsid w:val="00A220B0"/>
    <w:rsid w:val="00A36236"/>
    <w:rsid w:val="00A83401"/>
    <w:rsid w:val="00A87D78"/>
    <w:rsid w:val="00A9000E"/>
    <w:rsid w:val="00A946D7"/>
    <w:rsid w:val="00AD4D76"/>
    <w:rsid w:val="00AE3C7E"/>
    <w:rsid w:val="00B355A3"/>
    <w:rsid w:val="00B83D05"/>
    <w:rsid w:val="00B92D92"/>
    <w:rsid w:val="00BD2AEE"/>
    <w:rsid w:val="00C843D1"/>
    <w:rsid w:val="00CE1ED9"/>
    <w:rsid w:val="00CF28C1"/>
    <w:rsid w:val="00D04D76"/>
    <w:rsid w:val="00D15B20"/>
    <w:rsid w:val="00D24F60"/>
    <w:rsid w:val="00D313F4"/>
    <w:rsid w:val="00D64FC2"/>
    <w:rsid w:val="00DC3326"/>
    <w:rsid w:val="00DC78FA"/>
    <w:rsid w:val="00DE186B"/>
    <w:rsid w:val="00E170DA"/>
    <w:rsid w:val="00E23BF4"/>
    <w:rsid w:val="00E23C92"/>
    <w:rsid w:val="00E95DBC"/>
    <w:rsid w:val="00EF49BE"/>
    <w:rsid w:val="00EF5226"/>
    <w:rsid w:val="00F121AD"/>
    <w:rsid w:val="00F2752C"/>
    <w:rsid w:val="00F37F39"/>
    <w:rsid w:val="00F92934"/>
    <w:rsid w:val="00F95456"/>
    <w:rsid w:val="00FA5D1D"/>
    <w:rsid w:val="00FD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461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68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3EA8E03-F247-EE44-8553-FBFA2EB7E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630</Words>
  <Characters>3591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Yuchong Pan</dc:creator>
  <cp:keywords/>
  <dc:description/>
  <cp:lastModifiedBy>Yuchong Pan</cp:lastModifiedBy>
  <cp:revision>286</cp:revision>
  <dcterms:created xsi:type="dcterms:W3CDTF">2020-04-20T04:40:00Z</dcterms:created>
  <dcterms:modified xsi:type="dcterms:W3CDTF">2020-04-20T07:33:00Z</dcterms:modified>
</cp:coreProperties>
</file>