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right"/>
        <w:rPr>
          <w:rFonts w:hint="default" w:ascii="Times New Roman" w:hAnsi="Times New Roman" w:eastAsia="Malgun Gothic" w:cs="Times New Roman"/>
          <w:b/>
          <w:bCs/>
          <w:i/>
          <w:iCs/>
          <w:sz w:val="24"/>
          <w:szCs w:val="24"/>
          <w:lang w:val="ru-RU" w:eastAsia="ko-K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Таблица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instrText xml:space="preserve"> SEQ Таблица \* ARABIC </w:instrTex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1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ru-RU" w:eastAsia="ko-KR"/>
        </w:rPr>
        <w:t>Список оборудования</w:t>
      </w:r>
    </w:p>
    <w:tbl>
      <w:tblPr>
        <w:tblStyle w:val="5"/>
        <w:tblW w:w="9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839"/>
        <w:gridCol w:w="684"/>
        <w:gridCol w:w="948"/>
        <w:gridCol w:w="1344"/>
        <w:gridCol w:w="1349"/>
        <w:gridCol w:w="1327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tblHeader/>
        </w:trPr>
        <w:tc>
          <w:tcPr>
            <w:tcW w:w="671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№</w:t>
            </w:r>
          </w:p>
        </w:tc>
        <w:tc>
          <w:tcPr>
            <w:tcW w:w="1839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Наименование</w:t>
            </w:r>
          </w:p>
        </w:tc>
        <w:tc>
          <w:tcPr>
            <w:tcW w:w="684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Код</w:t>
            </w:r>
          </w:p>
        </w:tc>
        <w:tc>
          <w:tcPr>
            <w:tcW w:w="948" w:type="dxa"/>
            <w:vMerge w:val="restart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Завод изготовитель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Цена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tblHeader/>
        </w:trPr>
        <w:tc>
          <w:tcPr>
            <w:tcW w:w="671" w:type="dxa"/>
            <w:vMerge w:val="continue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839" w:type="dxa"/>
            <w:vMerge w:val="continue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Merge w:val="continue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Merge w:val="continue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выпуска</w:t>
            </w:r>
          </w:p>
        </w:tc>
        <w:tc>
          <w:tcPr>
            <w:tcW w:w="134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продажи</w:t>
            </w:r>
          </w:p>
        </w:tc>
        <w:tc>
          <w:tcPr>
            <w:tcW w:w="132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оптовая</w:t>
            </w:r>
          </w:p>
        </w:tc>
        <w:tc>
          <w:tcPr>
            <w:tcW w:w="136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розничная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3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5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7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8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9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10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11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12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13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14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15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16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17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18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19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20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21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22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23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24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25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26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27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28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29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6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30</w:t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94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4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2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</w:tbl>
    <w:p>
      <w:pPr>
        <w:spacing w:line="360" w:lineRule="auto"/>
        <w:jc w:val="center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</w:pPr>
      <w:r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lang w:val="ru-RU" w:eastAsia="ko-KR"/>
        </w:rPr>
        <w:br w:type="textWrapping"/>
      </w: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ru-RU" w:eastAsia="ko-KR"/>
        </w:rPr>
        <w:t>Численность населения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2021</w:t>
            </w:r>
          </w:p>
        </w:tc>
        <w:tc>
          <w:tcPr>
            <w:tcW w:w="4103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367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Всего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 том числе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мужчины</w:t>
            </w:r>
          </w:p>
        </w:tc>
        <w:tc>
          <w:tcPr>
            <w:tcW w:w="136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женщины</w:t>
            </w:r>
          </w:p>
        </w:tc>
        <w:tc>
          <w:tcPr>
            <w:tcW w:w="1367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мужчины</w:t>
            </w:r>
          </w:p>
        </w:tc>
        <w:tc>
          <w:tcPr>
            <w:tcW w:w="136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женщины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368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</w:tbl>
    <w:tbl>
      <w:tblPr>
        <w:tblStyle w:val="5"/>
        <w:tblpPr w:leftFromText="180" w:rightFromText="180" w:vertAnchor="text" w:tblpX="10880" w:tblpY="-1656"/>
        <w:tblOverlap w:val="never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435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</w:tbl>
    <w:p>
      <w:pPr>
        <w:spacing w:line="360" w:lineRule="auto"/>
        <w:jc w:val="center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</w:pPr>
      <w:r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lang w:val="ru-RU" w:eastAsia="ko-KR"/>
        </w:rPr>
        <w:br w:type="textWrapping"/>
      </w: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ru-RU" w:eastAsia="ko-KR"/>
        </w:rPr>
        <w:t xml:space="preserve">Значения элементов коэффициента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lang w:val="ru-RU"/>
              </w:rPr>
              <m:t>К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lang w:val="ru-RU"/>
              </w:rPr>
              <m:t>э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sub>
        </m:sSub>
      </m:oMath>
      <w:r>
        <w:rPr>
          <w:rFonts w:hint="default" w:ascii="Calibri" w:hAnsi="Cambria Math" w:cs="Times New Roman"/>
          <w:b/>
          <w:bCs/>
          <w:i w:val="0"/>
          <w:sz w:val="24"/>
          <w:szCs w:val="24"/>
          <w:lang w:val="ru-RU"/>
        </w:rPr>
        <w:t xml:space="preserve"> для деталей ступенчатых валов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Код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ru-RU" w:eastAsia="ko-KR"/>
                          </w:rPr>
                          <m:t>ср</m:t>
                        </m: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7445" w:type="dxa"/>
            <w:gridSpan w:val="7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 xml:space="preserve">Длина 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i/>
                <w:iCs/>
                <w:sz w:val="24"/>
                <w:szCs w:val="24"/>
                <w:vertAlign w:val="baseline"/>
                <w:lang w:val="en-US" w:eastAsia="ko-KR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3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100-200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201-300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301-400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401-500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501-600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601-700</w:t>
            </w:r>
          </w:p>
        </w:tc>
        <w:tc>
          <w:tcPr>
            <w:tcW w:w="106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701-800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1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3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4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5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6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7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8</w:t>
            </w:r>
          </w:p>
        </w:tc>
        <w:tc>
          <w:tcPr>
            <w:tcW w:w="1064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4,5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1,0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ru-RU" w:eastAsia="ko-KR"/>
              </w:rPr>
              <w:t>1,4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</w:pPr>
      <w:r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  <w:br w:type="page"/>
      </w:r>
    </w:p>
    <w:tbl>
      <w:tblPr>
        <w:tblStyle w:val="5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4422"/>
        <w:gridCol w:w="631"/>
        <w:gridCol w:w="629"/>
        <w:gridCol w:w="629"/>
        <w:gridCol w:w="737"/>
        <w:gridCol w:w="629"/>
        <w:gridCol w:w="629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№ п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>/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п</w:t>
            </w:r>
          </w:p>
        </w:tc>
        <w:tc>
          <w:tcPr>
            <w:tcW w:w="4422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 xml:space="preserve">Наименование 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br w:type="textWrapping"/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темы</w:t>
            </w:r>
          </w:p>
        </w:tc>
        <w:tc>
          <w:tcPr>
            <w:tcW w:w="4513" w:type="dxa"/>
            <w:gridSpan w:val="7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Всего часов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4422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31" w:type="dxa"/>
            <w:vMerge w:val="restart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Трудоёмкость</w:t>
            </w:r>
          </w:p>
        </w:tc>
        <w:tc>
          <w:tcPr>
            <w:tcW w:w="3253" w:type="dxa"/>
            <w:gridSpan w:val="5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Аудиторных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Самостоятельных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1" w:hRule="atLeast"/>
        </w:trPr>
        <w:tc>
          <w:tcPr>
            <w:tcW w:w="624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4422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31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Всего</w:t>
            </w:r>
          </w:p>
        </w:tc>
        <w:tc>
          <w:tcPr>
            <w:tcW w:w="629" w:type="dxa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Лекций</w:t>
            </w:r>
          </w:p>
        </w:tc>
        <w:tc>
          <w:tcPr>
            <w:tcW w:w="737" w:type="dxa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Практических семинаров</w:t>
            </w:r>
          </w:p>
        </w:tc>
        <w:tc>
          <w:tcPr>
            <w:tcW w:w="629" w:type="dxa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Лабораторных</w:t>
            </w:r>
          </w:p>
        </w:tc>
        <w:tc>
          <w:tcPr>
            <w:tcW w:w="629" w:type="dxa"/>
            <w:textDirection w:val="btLr"/>
            <w:vAlign w:val="center"/>
          </w:tcPr>
          <w:p>
            <w:pPr>
              <w:widowControl w:val="0"/>
              <w:spacing w:line="360" w:lineRule="auto"/>
              <w:ind w:left="113" w:right="113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Индивидуальных</w:t>
            </w:r>
          </w:p>
        </w:tc>
        <w:tc>
          <w:tcPr>
            <w:tcW w:w="629" w:type="dxa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559" w:type="dxa"/>
            <w:gridSpan w:val="9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 xml:space="preserve">I 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</w:t>
            </w:r>
          </w:p>
        </w:tc>
        <w:tc>
          <w:tcPr>
            <w:tcW w:w="4422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Основы информационной культуры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26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4422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Техническая база информационных технологий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3</w:t>
            </w:r>
          </w:p>
        </w:tc>
        <w:tc>
          <w:tcPr>
            <w:tcW w:w="4422" w:type="dxa"/>
          </w:tcPr>
          <w:p>
            <w:pPr>
              <w:widowControl w:val="0"/>
              <w:spacing w:line="240" w:lineRule="auto"/>
              <w:jc w:val="left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Программное обеспечение персонального компьютера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64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>
            <w:pPr>
              <w:widowControl w:val="0"/>
              <w:spacing w:line="360" w:lineRule="auto"/>
              <w:jc w:val="right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Итого:</w:t>
            </w:r>
          </w:p>
        </w:tc>
        <w:tc>
          <w:tcPr>
            <w:tcW w:w="63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73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9" w:type="dxa"/>
            <w:gridSpan w:val="9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en-US" w:eastAsia="ko-KR"/>
              </w:rPr>
              <w:t xml:space="preserve">II </w:t>
            </w: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4422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Компьютерные сети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18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5</w:t>
            </w:r>
          </w:p>
        </w:tc>
        <w:tc>
          <w:tcPr>
            <w:tcW w:w="4422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Защита информации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6</w:t>
            </w:r>
          </w:p>
        </w:tc>
        <w:tc>
          <w:tcPr>
            <w:tcW w:w="4422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Информационные системы</w:t>
            </w:r>
          </w:p>
        </w:tc>
        <w:tc>
          <w:tcPr>
            <w:tcW w:w="63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52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10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73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-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2</w:t>
            </w:r>
          </w:p>
        </w:tc>
        <w:tc>
          <w:tcPr>
            <w:tcW w:w="62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>
            <w:pPr>
              <w:widowControl w:val="0"/>
              <w:spacing w:line="360" w:lineRule="auto"/>
              <w:jc w:val="right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Итого:</w:t>
            </w:r>
          </w:p>
        </w:tc>
        <w:tc>
          <w:tcPr>
            <w:tcW w:w="63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73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442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</w:pPr>
            <w:r>
              <w:rPr>
                <w:rFonts w:hint="default" w:ascii="Times New Roman" w:hAnsi="Times New Roman" w:eastAsia="Malgun Gothic" w:cs="Times New Roman"/>
                <w:b/>
                <w:bCs/>
                <w:sz w:val="24"/>
                <w:szCs w:val="24"/>
                <w:vertAlign w:val="baseline"/>
                <w:lang w:val="ru-RU" w:eastAsia="ko-KR"/>
              </w:rPr>
              <w:t>ВСЕГО</w:t>
            </w:r>
          </w:p>
        </w:tc>
        <w:tc>
          <w:tcPr>
            <w:tcW w:w="63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73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  <w:tc>
          <w:tcPr>
            <w:tcW w:w="62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</w:p>
        </w:tc>
      </w:tr>
    </w:tbl>
    <w:p>
      <w:pPr>
        <w:spacing w:line="360" w:lineRule="auto"/>
        <w:jc w:val="center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vertAlign w:val="baseline"/>
          <w:lang w:val="ru-RU" w:eastAsia="ko-KR"/>
        </w:rPr>
      </w:pPr>
      <w:r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lang w:val="ru-RU" w:eastAsia="ko-KR"/>
        </w:rPr>
        <w:br w:type="textWrapping"/>
      </w: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ru-RU" w:eastAsia="ko-KR"/>
        </w:rPr>
        <w:t>Формулы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2x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box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dx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box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k=1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∞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k(k+1)(k+2)...(k+m)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mm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!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xy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1+x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n</m:t>
                        </m:r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bCs w:val="0"/>
                                    <w:i/>
                                    <w:sz w:val="24"/>
                                    <w:szCs w:val="24"/>
                                    <w:vertAlign w:val="baseline"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∙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x.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/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A</m:t>
                </m:r>
                <m:r>
                  <m:rPr>
                    <m:sty m:val="p"/>
                  </m:rPr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Malgun Gothic" w:cs="Times New Roman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eastAsia="Malgun Gothic" w:cs="Times New Roman"/>
                              <w:b w:val="0"/>
                              <w:bCs w:val="0"/>
                              <w:sz w:val="24"/>
                              <w:szCs w:val="24"/>
                              <w:vertAlign w:val="baseline"/>
                              <w:lang w:val="en-US" w:eastAsia="ko-KR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e>
                </m:d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∆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ru-RU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ru-RU"/>
                  </w:rPr>
                  <m:t>=</m:t>
                </m:r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ρ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</m:sSub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φ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</m:sSup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L=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deg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−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+</m:t>
                    </m:r>
                    <m:sSup>
                      <m:sSup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−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+</m:t>
                    </m:r>
                    <m:sSup>
                      <m:sSup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z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−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z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i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P</m:t>
                    </m:r>
                    <m:nary>
                      <m:naryPr>
                        <m:chr m:val="⋁"/>
                        <m:limLoc m:val="undOvr"/>
                        <m:subHide m:val="1"/>
                        <m:supHide m:val="1"/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nary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)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→∆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P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en>
                </m:f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ru-RU" w:eastAsia="ko-K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+20x−15y=0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0,6y−0,8x</m:t>
                            </m:r>
                            <m:ctrlPr>
                              <w:rPr>
                                <w:rFonts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ru-RU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−1,14x−1,52y=0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F=</m:t>
                </m:r>
                <m:f>
                  <m:fP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 w:bidi="ar-SA"/>
                      </w:rPr>
                      <m:t>γ</m:t>
                    </m:r>
                    <m:sSup>
                      <m:sSupPr>
                        <m:ctrlPr>
                          <m:rPr/>
                          <w:rPr>
                            <w:rFonts w:ascii="Cambria Math" w:hAnsi="Cambria Math" w:cs="Times New Roman"/>
                            <w:bCs w:val="0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  <m:t>R</m:t>
                        </m:r>
                        <m:ctrlPr>
                          <m:rPr/>
                          <w:rPr>
                            <w:rFonts w:ascii="Cambria Math" w:hAnsi="Cambria Math" w:cs="Times New Roman"/>
                            <w:bCs w:val="0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  <m:t>3</m:t>
                        </m:r>
                        <m:ctrlPr>
                          <m:rPr/>
                          <w:rPr>
                            <w:rFonts w:ascii="Cambria Math" w:hAnsi="Cambria Math" w:cs="Times New Roman"/>
                            <w:bCs w:val="0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den>
                </m:f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baseline"/>
                    <w:lang w:val="ru-RU"/>
                  </w:rPr>
                  <m:t>μ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ru-RU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="Cambria Math"/>
                            <w:bCs w:val="0"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ω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bCs w:val="0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(i−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Cambria Math"/>
                            <w:bCs w:val="0"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Cambria Math"/>
                            <w:bCs w:val="0"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(1−</m:t>
                </m:r>
                <m:f>
                  <m:fP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Cambria Math"/>
                        <w:bCs w:val="0"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A=</m:t>
                </m:r>
                <m:rad>
                  <m:radP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3</m:t>
                    </m: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+</m:t>
                    </m:r>
                    <m:rad>
                      <m:radPr>
                        <m:degHide m:val="1"/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radPr>
                      <m:deg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e>
                </m:rad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algun Gothic" w:cs="Times New Roman"/>
                    <w:sz w:val="24"/>
                    <w:szCs w:val="24"/>
                    <w:vertAlign w:val="baseline"/>
                    <w:lang w:val="en-US" w:eastAsia="ko-KR" w:bidi="ar-SA"/>
                  </w:rPr>
                  <m:t>f(x)=</m:t>
                </m:r>
                <m:f>
                  <m:fP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radPr>
                      <m:deg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en-US" w:bidi="ar-SA"/>
                          </w:rPr>
                          <m:t>πσ</m:t>
                        </m: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den>
                </m:f>
                <m:sSup>
                  <m:sSupP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Malgun Gothic" w:cs="Times New Roman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e>
                  <m:sup>
                    <m:f>
                      <m:fPr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−(x−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hint="default" w:ascii="Cambria Math" w:hAnsi="Cambria Math" w:eastAsia="Malgun Gothic" w:cs="Times New Roman"/>
                                    <w:b w:val="0"/>
                                    <w:bCs w:val="0"/>
                                    <w:sz w:val="24"/>
                                    <w:szCs w:val="24"/>
                                    <w:vertAlign w:val="baseline"/>
                                    <w:lang w:val="en-US" w:eastAsia="ko-KR" w:bidi="ar-SA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Malgun Gothic" w:cs="Times New Roman"/>
                                    <w:sz w:val="24"/>
                                    <w:szCs w:val="24"/>
                                    <w:vertAlign w:val="baseline"/>
                                    <w:lang w:val="en-US" w:eastAsia="ko-KR" w:bidi="ar-SA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 w:eastAsia="Malgun Gothic" w:cs="Times New Roman"/>
                                    <w:b w:val="0"/>
                                    <w:bCs w:val="0"/>
                                    <w:sz w:val="24"/>
                                    <w:szCs w:val="24"/>
                                    <w:vertAlign w:val="baseline"/>
                                    <w:lang w:val="en-US" w:eastAsia="ko-KR" w:bidi="ar-SA"/>
                                  </w:rPr>
                                </m:ctrlPr>
                              </m:e>
                            </m:ba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)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Malgun Gothic" w:cs="Times New Roman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  <m:t>2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 w:bidi="ar-SA"/>
                              </w:rPr>
                              <m:t>σ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Malgun Gothic" w:cs="Times New Roman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eastAsia="Malgun Gothic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ko-KR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eastAsia="Malgun Gothic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ko-KR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eastAsia="Malgun Gothic" w:cs="Times New Roman"/>
                        <w:b w:val="0"/>
                        <w:bCs w:val="0"/>
                        <w:sz w:val="24"/>
                        <w:szCs w:val="24"/>
                        <w:vertAlign w:val="baseline"/>
                        <w:lang w:val="en-US" w:eastAsia="ko-KR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bar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baseline"/>
                            <w:lang w:val="ru-RU"/>
                          </w:rPr>
                          <m:t>δ</m:t>
                        </m: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ru-RU"/>
                          </w:rPr>
                        </m:ctrlPr>
                      </m:e>
                    </m:ba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−</m:t>
                        </m:r>
                        <m:bar>
                          <m:barPr>
                            <m:pos m:val="top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bCs w:val="0"/>
                                <w:i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eastAsia="Malgun Gothic" w:cs="Times New Roman"/>
                <w:b w:val="0"/>
                <w:bCs w:val="0"/>
                <w:sz w:val="24"/>
                <w:szCs w:val="24"/>
                <w:vertAlign w:val="baseline"/>
                <w:lang w:val="en-US" w:eastAsia="ko-KR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ru-RU"/>
                      </w:rPr>
                      <m:t>∇∙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F(r)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vertAlign w:val="baseline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aryPr>
                  <m:sub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  <m:sup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ds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vertAlign w:val="baseline"/>
                        <w:lang w:val="en-US"/>
                      </w:rPr>
                      <m:t>F(r)</m:t>
                    </m:r>
                    <m:ctrlPr>
                      <m:rPr/>
                      <w:rPr>
                        <w:rFonts w:hint="default" w:ascii="Cambria Math" w:hAnsi="Cambria Math" w:cs="Times New Roman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nary>
              </m:oMath>
            </m:oMathPara>
          </w:p>
        </w:tc>
      </w:tr>
    </w:tbl>
    <w:p>
      <w:pPr>
        <w:spacing w:line="360" w:lineRule="auto"/>
        <w:jc w:val="both"/>
        <w:rPr>
          <w:rFonts w:hint="default" w:ascii="Times New Roman" w:hAnsi="Times New Roman" w:eastAsia="Malgun Gothic" w:cs="Times New Roman"/>
          <w:b w:val="0"/>
          <w:bCs w:val="0"/>
          <w:sz w:val="24"/>
          <w:szCs w:val="24"/>
          <w:lang w:val="ru-RU" w:eastAsia="ko-KR"/>
        </w:rPr>
      </w:pPr>
    </w:p>
    <w:sectPr>
      <w:pgSz w:w="11906" w:h="16838"/>
      <w:pgMar w:top="1440" w:right="1417" w:bottom="1440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1A4F"/>
    <w:rsid w:val="0C36521D"/>
    <w:rsid w:val="1C4B5094"/>
    <w:rsid w:val="31EE4DD4"/>
    <w:rsid w:val="62AC0218"/>
    <w:rsid w:val="6E7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2023-10-10T17:51:00Z</dcterms:created>
  <dc:creator>burja</dc:creator>
  <cp:lastModifiedBy>lolypoow</cp:lastModifiedBy>
  <cp:lastPrinted>2023-10-11T12:12:00Z</cp:lastPrinted>
  <dcterms:modified xsi:type="dcterms:W3CDTF">2023-11-12T15:36:40Z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44DC850B5E2E4A068A84B82ADFB9772C_12</vt:lpwstr>
  </property>
</Properties>
</file>