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C17FB" w:rsidRDefault="006C17F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000002" w14:textId="77777777" w:rsidR="006C17FB" w:rsidRDefault="007C7D7F">
      <w:r>
        <w:t>Для описания одномерной диффузии авроры вдоль микротрубочки рассматриваем следующую задачу.</w:t>
      </w:r>
    </w:p>
    <w:p w14:paraId="00000003" w14:textId="77777777" w:rsidR="006C17FB" w:rsidRDefault="007C7D7F">
      <w:r>
        <w:t>Кинетическая схема реакций для авроры аналогична пространственной, но при этом на поверхности микротрубочки отсутствуют рецепторы</w:t>
      </w:r>
    </w:p>
    <w:p w14:paraId="00000004" w14:textId="77777777" w:rsidR="006C17FB" w:rsidRDefault="007C7D7F">
      <w:r>
        <w:rPr>
          <w:sz w:val="36"/>
          <w:szCs w:val="36"/>
          <w:vertAlign w:val="subscript"/>
        </w:rPr>
        <w:object w:dxaOrig="638" w:dyaOrig="397" w14:anchorId="3D615D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pt;height:20pt" o:ole="">
            <v:imagedata r:id="rId5" o:title=""/>
          </v:shape>
          <o:OLEObject Type="Embed" ProgID="Equation.DSMT4" ShapeID="_x0000_i1025" DrawAspect="Content" ObjectID="_1732293090" r:id="rId6"/>
        </w:object>
      </w:r>
    </w:p>
    <w:p w14:paraId="00000005" w14:textId="77777777" w:rsidR="006C17FB" w:rsidRDefault="007C7D7F">
      <w:r>
        <w:rPr>
          <w:sz w:val="36"/>
          <w:szCs w:val="36"/>
          <w:vertAlign w:val="subscript"/>
        </w:rPr>
        <w:object w:dxaOrig="2281" w:dyaOrig="514" w14:anchorId="50F8C5D4">
          <v:shape id="_x0000_i1026" type="#_x0000_t75" style="width:114pt;height:25.5pt" o:ole="">
            <v:imagedata r:id="rId7" o:title=""/>
          </v:shape>
          <o:OLEObject Type="Embed" ProgID="Equation.DSMT4" ShapeID="_x0000_i1026" DrawAspect="Content" ObjectID="_1732293091" r:id="rId8"/>
        </w:object>
      </w:r>
    </w:p>
    <w:p w14:paraId="00000006" w14:textId="77777777" w:rsidR="006C17FB" w:rsidRDefault="007C7D7F">
      <w:r>
        <w:rPr>
          <w:sz w:val="36"/>
          <w:szCs w:val="36"/>
          <w:vertAlign w:val="subscript"/>
        </w:rPr>
        <w:object w:dxaOrig="3324" w:dyaOrig="537" w14:anchorId="4BE15D7A">
          <v:shape id="_x0000_i1027" type="#_x0000_t75" style="width:166pt;height:27pt" o:ole="">
            <v:imagedata r:id="rId9" o:title=""/>
          </v:shape>
          <o:OLEObject Type="Embed" ProgID="Equation.DSMT4" ShapeID="_x0000_i1027" DrawAspect="Content" ObjectID="_1732293092" r:id="rId10"/>
        </w:object>
      </w:r>
    </w:p>
    <w:p w14:paraId="00000007" w14:textId="77777777" w:rsidR="006C17FB" w:rsidRDefault="007C7D7F">
      <w:r>
        <w:rPr>
          <w:highlight w:val="yellow"/>
        </w:rPr>
        <w:t>То есть всего 7 реакций. В дальнейшем упростим.</w:t>
      </w:r>
    </w:p>
    <w:p w14:paraId="00000008" w14:textId="77777777" w:rsidR="006C17FB" w:rsidRDefault="006C17FB"/>
    <w:p w14:paraId="00000009" w14:textId="77777777" w:rsidR="006C17FB" w:rsidRDefault="007C7D7F">
      <w:r>
        <w:t>Чтобы учесть обмены между компартментами (жидкостью и поверхностью микротрубочки), используем модель диффузионного слоя. Считаем, что непосредственно около поверхности трубочки концентрация молекул в растворе нулевая (если расстояние от молекулы до трубочки равно нулю, то она сидит на поверхности). На некотором расстоянии от микротрубочки концентрация начинает меняться значительно медленнее, чем в диффузионном слое. Для постановки граничных условий можно считать ее постоянной (тем более, что в численных расчетах она потом все равно будет приниматься постоянной в рамках расчетной ячейки). В самом диффузионном слое релаксация происходит мгновенно, тогда градиент концентрации в рамках диффузионного слоя всегда постоянный. Тогда этот градиент оценим как</w:t>
      </w:r>
    </w:p>
    <w:p w14:paraId="0000000A" w14:textId="77777777" w:rsidR="006C17FB" w:rsidRDefault="007C7D7F">
      <w:r>
        <w:rPr>
          <w:sz w:val="36"/>
          <w:szCs w:val="36"/>
          <w:vertAlign w:val="subscript"/>
        </w:rPr>
        <w:object w:dxaOrig="864" w:dyaOrig="685" w14:anchorId="389B2A4F">
          <v:shape id="_x0000_i1028" type="#_x0000_t75" style="width:43pt;height:34.5pt" o:ole="">
            <v:imagedata r:id="rId11" o:title=""/>
          </v:shape>
          <o:OLEObject Type="Embed" ProgID="Equation.DSMT4" ShapeID="_x0000_i1028" DrawAspect="Content" ObjectID="_1732293093" r:id="rId12"/>
        </w:object>
      </w:r>
    </w:p>
    <w:p w14:paraId="0000000B" w14:textId="77777777" w:rsidR="006C17FB" w:rsidRDefault="007C7D7F">
      <w:r>
        <w:t>Здесь c – концентрация вещества на внешней границе диффузионного слоя, d</w:t>
      </w:r>
      <w:r>
        <w:rPr>
          <w:vertAlign w:val="subscript"/>
        </w:rPr>
        <w:t>c</w:t>
      </w:r>
      <w:r>
        <w:t xml:space="preserve"> – толщина диффузионного слоя для данного вещества.</w:t>
      </w:r>
    </w:p>
    <w:p w14:paraId="0000000C" w14:textId="77777777" w:rsidR="006C17FB" w:rsidRDefault="007C7D7F">
      <w:pPr>
        <w:rPr>
          <w:color w:val="FF0000"/>
        </w:rPr>
      </w:pPr>
      <w:r>
        <w:rPr>
          <w:color w:val="FF0000"/>
        </w:rPr>
        <w:t>Внимание! В этом разделе «пространственные» коэффициенты диффузии</w:t>
      </w:r>
    </w:p>
    <w:p w14:paraId="0000000D" w14:textId="77777777" w:rsidR="006C17FB" w:rsidRDefault="007C7D7F">
      <w:r>
        <w:t xml:space="preserve">В этом случае поток молекул со стороны жидкости к микротрубочке оценивается как </w:t>
      </w:r>
      <w:r>
        <w:rPr>
          <w:sz w:val="36"/>
          <w:szCs w:val="36"/>
          <w:vertAlign w:val="subscript"/>
        </w:rPr>
        <w:object w:dxaOrig="1238" w:dyaOrig="685" w14:anchorId="32ED94F1">
          <v:shape id="_x0000_i1029" type="#_x0000_t75" style="width:62pt;height:34.5pt" o:ole="">
            <v:imagedata r:id="rId13" o:title=""/>
          </v:shape>
          <o:OLEObject Type="Embed" ProgID="Equation.DSMT4" ShapeID="_x0000_i1029" DrawAspect="Content" ObjectID="_1732293094" r:id="rId14"/>
        </w:object>
      </w:r>
      <w:r>
        <w:rPr>
          <w:highlight w:val="cyan"/>
        </w:rPr>
        <w:t>Это верхняя оценка.</w:t>
      </w:r>
    </w:p>
    <w:p w14:paraId="0000000E" w14:textId="77777777" w:rsidR="006C17FB" w:rsidRDefault="007C7D7F">
      <w:r>
        <w:t>Свяжем этот поток с поверхностной плотностью вещества на поверхности микротрубочки в состоянии равновесия. На поверхности микротрубочки имеем</w:t>
      </w:r>
    </w:p>
    <w:p w14:paraId="0000000F" w14:textId="77777777" w:rsidR="006C17FB" w:rsidRDefault="00E87114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dC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</w:rPr>
            <m:t>=-D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∂c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∂r</m:t>
              </m:r>
            </m:den>
          </m:f>
        </m:oMath>
      </m:oMathPara>
    </w:p>
    <w:p w14:paraId="00000010" w14:textId="77777777" w:rsidR="006C17FB" w:rsidRDefault="007C7D7F">
      <w:r>
        <w:t xml:space="preserve">Здесь C – погонная плотность молекул (на элемент длины микротрубочки). </w:t>
      </w:r>
    </w:p>
    <w:p w14:paraId="00000011" w14:textId="77777777" w:rsidR="006C17FB" w:rsidRDefault="007C7D7F">
      <w:r>
        <w:t>Микротрубочка нам интересна не сама по себе, а как поверхность, на которой должны быть заданы внутренние граничные условия для «авроры пространственной». Посему необходимо рассматривать реакции присоединения – отсоединения авроры, активной авроры, комплексов и фосфотазы к микротрубочкам.</w:t>
      </w:r>
    </w:p>
    <w:p w14:paraId="00000012" w14:textId="77777777" w:rsidR="006C17FB" w:rsidRDefault="007C7D7F">
      <w:pPr>
        <w:jc w:val="center"/>
        <w:rPr>
          <w:rFonts w:ascii="Cambria Math" w:eastAsia="Cambria Math" w:hAnsi="Cambria Math" w:cs="Cambria Math"/>
        </w:rPr>
      </w:pPr>
      <w:r>
        <w:lastRenderedPageBreak/>
        <w:t>Кроме того, все молекулы, ушедшие из раствора, должны оказаться на поверхности микротрубочки. Тогда по закону сохранения вещества имеем связь погонной концентрации с объемной</w:t>
      </w:r>
      <w:r>
        <w:br/>
      </w:r>
      <w:sdt>
        <w:sdtPr>
          <w:tag w:val="goog_rdk_0"/>
          <w:id w:val="54902980"/>
        </w:sdtPr>
        <w:sdtEndPr/>
        <w:sdtContent/>
      </w:sdt>
      <w:bookmarkStart w:id="0" w:name="_GoBack"/>
      <w:bookmarkEnd w:id="0"/>
      <m:oMath>
        <m:r>
          <w:rPr>
            <w:rFonts w:ascii="Cambria Math" w:eastAsia="Cambria Math" w:hAnsi="Cambria Math" w:cs="Cambria Math"/>
          </w:rPr>
          <m:t>C=π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c</m:t>
            </m:r>
          </m:sub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bSup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c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00000013" w14:textId="77777777" w:rsidR="006C17FB" w:rsidRDefault="007C7D7F">
      <w:r>
        <w:t>Тогда мы имеем связь равновесной поверхностной плотности молекул на микротрубочке с концентрацией в растворе (равновесная – нет потока!!!).</w:t>
      </w:r>
    </w:p>
    <w:p w14:paraId="00000014" w14:textId="77777777" w:rsidR="006C17FB" w:rsidRDefault="007C7D7F">
      <w:r>
        <w:t xml:space="preserve">Количество молекул, присоединившихся к микротрубочке, оценивается по среднему количеству молекул в диффузионном слое. Максимальный поток при формировании диффузионного слоя объясняется присоединением молекул к микротрубочке. Оценка приводит к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</w:rPr>
              <m:t>c</m:t>
            </m:r>
          </m:sub>
        </m:sSub>
        <m:r>
          <w:rPr>
            <w:rFonts w:ascii="Cambria Math" w:eastAsia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+</m:t>
                    </m:r>
                  </m:sup>
                </m:sSubSup>
              </m:den>
            </m:f>
          </m:e>
        </m:rad>
      </m:oMath>
    </w:p>
    <w:p w14:paraId="00000015" w14:textId="77777777" w:rsidR="006C17FB" w:rsidRDefault="007C7D7F">
      <w:r>
        <w:t>Свяжем поток с погонной плотностью вещества на поверхности микротрубочки в состоянии равновесия. На поверхности микротрубочки имеем</w:t>
      </w:r>
    </w:p>
    <w:p w14:paraId="00000016" w14:textId="77777777" w:rsidR="006C17FB" w:rsidRDefault="00E87114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dC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πc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r>
            <w:rPr>
              <w:rFonts w:ascii="Cambria Math" w:eastAsia="Cambria Math" w:hAnsi="Cambria Math" w:cs="Cambria Math"/>
            </w:rPr>
            <m:t>C</m:t>
          </m:r>
        </m:oMath>
      </m:oMathPara>
    </w:p>
    <w:p w14:paraId="00000017" w14:textId="77777777" w:rsidR="006C17FB" w:rsidRDefault="007C7D7F">
      <w:r>
        <w:t>В состоянии равновесия, когда поток отсутствует</w:t>
      </w:r>
    </w:p>
    <w:p w14:paraId="00000018" w14:textId="77777777" w:rsidR="006C17FB" w:rsidRDefault="00E87114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</m:sup>
              </m:sSubSup>
            </m:den>
          </m:f>
          <m:r>
            <w:rPr>
              <w:rFonts w:ascii="Cambria Math" w:eastAsia="Cambria Math" w:hAnsi="Cambria Math" w:cs="Cambria Math"/>
            </w:rPr>
            <m:t>πc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b>
              <m:r>
                <w:rPr>
                  <w:rFonts w:ascii="Cambria Math" w:eastAsia="Cambria Math" w:hAnsi="Cambria Math" w:cs="Cambria Math"/>
                </w:rPr>
                <m:t>eq</m:t>
              </m:r>
            </m:sub>
          </m:sSub>
        </m:oMath>
      </m:oMathPara>
    </w:p>
    <w:p w14:paraId="00000019" w14:textId="77777777" w:rsidR="006C17FB" w:rsidRDefault="007C7D7F">
      <w:r>
        <w:t xml:space="preserve">Если погонная концентрация меньше равновесной, то поток направлен к трубочке, если больше – в объем. Тогда имеем граничное условие третьего рода </w:t>
      </w:r>
    </w:p>
    <w:p w14:paraId="0000001A" w14:textId="77777777" w:rsidR="006C17FB" w:rsidRDefault="007C7D7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-D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∂c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∂r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πc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r>
            <w:rPr>
              <w:rFonts w:ascii="Cambria Math" w:eastAsia="Cambria Math" w:hAnsi="Cambria Math" w:cs="Cambria Math"/>
            </w:rPr>
            <m:t>C</m:t>
          </m:r>
        </m:oMath>
      </m:oMathPara>
    </w:p>
    <w:p w14:paraId="0000001B" w14:textId="77777777" w:rsidR="006C17FB" w:rsidRDefault="007C7D7F">
      <w:r>
        <w:t>А в уравнение для трубочки добавляется слагаемое типа источника (стока)</w:t>
      </w:r>
    </w:p>
    <w:p w14:paraId="0000001C" w14:textId="77777777" w:rsidR="006C17FB" w:rsidRDefault="006C17FB"/>
    <w:p w14:paraId="0000001D" w14:textId="77777777" w:rsidR="006C17FB" w:rsidRDefault="006C17FB"/>
    <w:p w14:paraId="0000001E" w14:textId="77777777" w:rsidR="006C17FB" w:rsidRDefault="007C7D7F">
      <w:r>
        <w:t>Точечная система. На поверхности микротрубочки запишем уравнения химреакций (для поверхностных плотностей)</w:t>
      </w:r>
    </w:p>
    <w:p w14:paraId="0000001F" w14:textId="77777777" w:rsidR="006C17FB" w:rsidRDefault="007C7D7F">
      <w:r>
        <w:rPr>
          <w:sz w:val="36"/>
          <w:szCs w:val="36"/>
          <w:vertAlign w:val="subscript"/>
        </w:rPr>
        <w:object w:dxaOrig="4016" w:dyaOrig="560" w14:anchorId="665830BA">
          <v:shape id="_x0000_i1030" type="#_x0000_t75" style="width:201pt;height:28pt" o:ole="">
            <v:imagedata r:id="rId15" o:title=""/>
          </v:shape>
          <o:OLEObject Type="Embed" ProgID="Equation.DSMT4" ShapeID="_x0000_i1030" DrawAspect="Content" ObjectID="_1732293095" r:id="rId16"/>
        </w:object>
      </w:r>
    </w:p>
    <w:p w14:paraId="00000020" w14:textId="77777777" w:rsidR="006C17FB" w:rsidRDefault="007C7D7F">
      <w:r>
        <w:rPr>
          <w:sz w:val="36"/>
          <w:szCs w:val="36"/>
          <w:vertAlign w:val="subscript"/>
        </w:rPr>
        <w:object w:dxaOrig="6095" w:dyaOrig="576" w14:anchorId="61C8FB7F">
          <v:shape id="_x0000_i1031" type="#_x0000_t75" style="width:305pt;height:29pt" o:ole="">
            <v:imagedata r:id="rId17" o:title=""/>
          </v:shape>
          <o:OLEObject Type="Embed" ProgID="Equation.DSMT4" ShapeID="_x0000_i1031" DrawAspect="Content" ObjectID="_1732293096" r:id="rId18"/>
        </w:object>
      </w:r>
    </w:p>
    <w:p w14:paraId="00000021" w14:textId="77777777" w:rsidR="006C17FB" w:rsidRDefault="007C7D7F">
      <w:r>
        <w:rPr>
          <w:sz w:val="36"/>
          <w:szCs w:val="36"/>
          <w:vertAlign w:val="subscript"/>
        </w:rPr>
        <w:object w:dxaOrig="3394" w:dyaOrig="638" w14:anchorId="0B3ED0EF">
          <v:shape id="_x0000_i1032" type="#_x0000_t75" style="width:169.5pt;height:32pt" o:ole="">
            <v:imagedata r:id="rId19" o:title=""/>
          </v:shape>
          <o:OLEObject Type="Embed" ProgID="Equation.DSMT4" ShapeID="_x0000_i1032" DrawAspect="Content" ObjectID="_1732293097" r:id="rId20"/>
        </w:object>
      </w:r>
    </w:p>
    <w:p w14:paraId="00000022" w14:textId="77777777" w:rsidR="006C17FB" w:rsidRDefault="007C7D7F">
      <w:r>
        <w:rPr>
          <w:sz w:val="36"/>
          <w:szCs w:val="36"/>
          <w:vertAlign w:val="subscript"/>
        </w:rPr>
        <w:object w:dxaOrig="4647" w:dyaOrig="560" w14:anchorId="36AE4670">
          <v:shape id="_x0000_i1033" type="#_x0000_t75" style="width:232.5pt;height:28pt" o:ole="">
            <v:imagedata r:id="rId21" o:title=""/>
          </v:shape>
          <o:OLEObject Type="Embed" ProgID="Equation.DSMT4" ShapeID="_x0000_i1033" DrawAspect="Content" ObjectID="_1732293098" r:id="rId22"/>
        </w:object>
      </w:r>
    </w:p>
    <w:p w14:paraId="00000023" w14:textId="77777777" w:rsidR="006C17FB" w:rsidRDefault="007C7D7F">
      <w:r>
        <w:rPr>
          <w:sz w:val="36"/>
          <w:szCs w:val="36"/>
          <w:vertAlign w:val="subscript"/>
        </w:rPr>
        <w:object w:dxaOrig="4950" w:dyaOrig="638" w14:anchorId="385D40F6">
          <v:shape id="_x0000_i1034" type="#_x0000_t75" style="width:247.5pt;height:32pt" o:ole="">
            <v:imagedata r:id="rId23" o:title=""/>
          </v:shape>
          <o:OLEObject Type="Embed" ProgID="Equation.DSMT4" ShapeID="_x0000_i1034" DrawAspect="Content" ObjectID="_1732293099" r:id="rId24"/>
        </w:object>
      </w:r>
    </w:p>
    <w:p w14:paraId="00000024" w14:textId="77777777" w:rsidR="006C17FB" w:rsidRDefault="007C7D7F">
      <w:pPr>
        <w:rPr>
          <w:color w:val="FF0000"/>
        </w:rPr>
      </w:pPr>
      <w:r>
        <w:rPr>
          <w:color w:val="FF0000"/>
        </w:rPr>
        <w:t>Внимание! Из лени за поверхностными плотностями я сохранил те же обозначения, что и за объемными! При создании чистовика править!</w:t>
      </w:r>
    </w:p>
    <w:p w14:paraId="00000025" w14:textId="77777777" w:rsidR="006C17FB" w:rsidRDefault="007C7D7F">
      <w:r>
        <w:lastRenderedPageBreak/>
        <w:t>Из последних двух уравнений следует закон сохранения полной фосфотазы</w:t>
      </w:r>
    </w:p>
    <w:p w14:paraId="00000026" w14:textId="77777777" w:rsidR="006C17FB" w:rsidRDefault="007C7D7F">
      <w:r>
        <w:rPr>
          <w:sz w:val="36"/>
          <w:szCs w:val="36"/>
          <w:vertAlign w:val="subscript"/>
        </w:rPr>
        <w:object w:dxaOrig="2281" w:dyaOrig="638" w14:anchorId="53456247">
          <v:shape id="_x0000_i1035" type="#_x0000_t75" style="width:114pt;height:32pt" o:ole="">
            <v:imagedata r:id="rId25" o:title=""/>
          </v:shape>
          <o:OLEObject Type="Embed" ProgID="Equation.DSMT4" ShapeID="_x0000_i1035" DrawAspect="Content" ObjectID="_1732293100" r:id="rId26"/>
        </w:object>
      </w:r>
      <w:r>
        <w:t xml:space="preserve"> или </w:t>
      </w:r>
      <w:r>
        <w:rPr>
          <w:sz w:val="36"/>
          <w:szCs w:val="36"/>
          <w:vertAlign w:val="subscript"/>
        </w:rPr>
        <w:object w:dxaOrig="2903" w:dyaOrig="444" w14:anchorId="41ECB0EF">
          <v:shape id="_x0000_i1036" type="#_x0000_t75" style="width:145pt;height:22pt" o:ole="">
            <v:imagedata r:id="rId27" o:title=""/>
          </v:shape>
          <o:OLEObject Type="Embed" ProgID="Equation.DSMT4" ShapeID="_x0000_i1036" DrawAspect="Content" ObjectID="_1732293101" r:id="rId28"/>
        </w:object>
      </w:r>
    </w:p>
    <w:p w14:paraId="00000027" w14:textId="77777777" w:rsidR="006C17FB" w:rsidRDefault="007C7D7F">
      <w:r>
        <w:t>Тогда</w:t>
      </w:r>
    </w:p>
    <w:p w14:paraId="00000028" w14:textId="77777777" w:rsidR="006C17FB" w:rsidRDefault="007C7D7F">
      <w:r>
        <w:rPr>
          <w:sz w:val="36"/>
          <w:szCs w:val="36"/>
          <w:vertAlign w:val="subscript"/>
        </w:rPr>
        <w:object w:dxaOrig="4016" w:dyaOrig="560" w14:anchorId="7B74AAE1">
          <v:shape id="_x0000_i1037" type="#_x0000_t75" style="width:201pt;height:28pt" o:ole="">
            <v:imagedata r:id="rId15" o:title=""/>
          </v:shape>
          <o:OLEObject Type="Embed" ProgID="Equation.DSMT4" ShapeID="_x0000_i1037" DrawAspect="Content" ObjectID="_1732293102" r:id="rId29"/>
        </w:object>
      </w:r>
    </w:p>
    <w:p w14:paraId="00000029" w14:textId="77777777" w:rsidR="006C17FB" w:rsidRDefault="007C7D7F">
      <w:r>
        <w:rPr>
          <w:sz w:val="36"/>
          <w:szCs w:val="36"/>
          <w:vertAlign w:val="subscript"/>
        </w:rPr>
        <w:object w:dxaOrig="7449" w:dyaOrig="576" w14:anchorId="21C092CC">
          <v:shape id="_x0000_i1038" type="#_x0000_t75" style="width:372.5pt;height:29pt" o:ole="">
            <v:imagedata r:id="rId30" o:title=""/>
          </v:shape>
          <o:OLEObject Type="Embed" ProgID="Equation.DSMT4" ShapeID="_x0000_i1038" DrawAspect="Content" ObjectID="_1732293103" r:id="rId31"/>
        </w:object>
      </w:r>
    </w:p>
    <w:p w14:paraId="0000002A" w14:textId="77777777" w:rsidR="006C17FB" w:rsidRDefault="007C7D7F">
      <w:r>
        <w:rPr>
          <w:sz w:val="36"/>
          <w:szCs w:val="36"/>
          <w:vertAlign w:val="subscript"/>
        </w:rPr>
        <w:object w:dxaOrig="3394" w:dyaOrig="638" w14:anchorId="0FC5B421">
          <v:shape id="_x0000_i1039" type="#_x0000_t75" style="width:169.5pt;height:32pt" o:ole="">
            <v:imagedata r:id="rId19" o:title=""/>
          </v:shape>
          <o:OLEObject Type="Embed" ProgID="Equation.DSMT4" ShapeID="_x0000_i1039" DrawAspect="Content" ObjectID="_1732293104" r:id="rId32"/>
        </w:object>
      </w:r>
    </w:p>
    <w:p w14:paraId="0000002B" w14:textId="77777777" w:rsidR="006C17FB" w:rsidRDefault="007C7D7F">
      <w:r>
        <w:rPr>
          <w:sz w:val="36"/>
          <w:szCs w:val="36"/>
          <w:vertAlign w:val="subscript"/>
        </w:rPr>
        <w:object w:dxaOrig="6289" w:dyaOrig="638" w14:anchorId="44AA44FB">
          <v:shape id="_x0000_i1040" type="#_x0000_t75" style="width:314.5pt;height:32pt" o:ole="">
            <v:imagedata r:id="rId33" o:title=""/>
          </v:shape>
          <o:OLEObject Type="Embed" ProgID="Equation.DSMT4" ShapeID="_x0000_i1040" DrawAspect="Content" ObjectID="_1732293105" r:id="rId34"/>
        </w:object>
      </w:r>
    </w:p>
    <w:p w14:paraId="0000002C" w14:textId="77777777" w:rsidR="006C17FB" w:rsidRDefault="007C7D7F">
      <w:r>
        <w:t>Поверхностная плотность фосфотазы связана с концентрацией в растворе в рамках применяемой модели диффузионного слоя как</w:t>
      </w:r>
    </w:p>
    <w:p w14:paraId="0000002D" w14:textId="77777777" w:rsidR="006C17FB" w:rsidRDefault="00E87114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PPase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=π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PPase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PPase</m:t>
          </m:r>
        </m:oMath>
      </m:oMathPara>
    </w:p>
    <w:p w14:paraId="0000002E" w14:textId="15A6427A" w:rsidR="006C17FB" w:rsidRDefault="007C7D7F">
      <w:pPr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В системе уравнений ниже стоят </w:t>
      </w:r>
      <w:r w:rsidR="00E87114">
        <w:rPr>
          <w:color w:val="FF0000"/>
          <w:highlight w:val="yellow"/>
        </w:rPr>
        <w:t xml:space="preserve">уже </w:t>
      </w:r>
      <w:r>
        <w:rPr>
          <w:color w:val="FF0000"/>
          <w:highlight w:val="yellow"/>
        </w:rPr>
        <w:t>поверхностные коэффициенты диффузии</w:t>
      </w:r>
      <w:r w:rsidR="00E87114">
        <w:rPr>
          <w:color w:val="FF0000"/>
          <w:highlight w:val="yellow"/>
        </w:rPr>
        <w:t>, они на порядок меньше оъемных</w:t>
      </w:r>
      <w:r>
        <w:rPr>
          <w:color w:val="FF0000"/>
          <w:highlight w:val="yellow"/>
        </w:rPr>
        <w:t>!!!</w:t>
      </w:r>
    </w:p>
    <w:p w14:paraId="0000002F" w14:textId="77777777" w:rsidR="006C17FB" w:rsidRDefault="007C7D7F">
      <w:pPr>
        <w:rPr>
          <w:color w:val="FF0000"/>
          <w:highlight w:val="yellow"/>
        </w:rPr>
      </w:pPr>
      <w:r>
        <w:rPr>
          <w:highlight w:val="yellow"/>
        </w:rPr>
        <w:t>Система уравнений переноса вдоль трубочки тогда может быть записана как</w:t>
      </w:r>
    </w:p>
    <w:p w14:paraId="00000030" w14:textId="77777777" w:rsidR="006C17FB" w:rsidRDefault="007C7D7F">
      <w:pPr>
        <w:rPr>
          <w:highlight w:val="yellow"/>
        </w:rPr>
      </w:pPr>
      <w:r>
        <w:rPr>
          <w:sz w:val="36"/>
          <w:szCs w:val="36"/>
          <w:highlight w:val="yellow"/>
          <w:vertAlign w:val="subscript"/>
        </w:rPr>
        <w:object w:dxaOrig="4694" w:dyaOrig="592" w14:anchorId="2C5337DF">
          <v:shape id="_x0000_i1041" type="#_x0000_t75" style="width:234.5pt;height:29.5pt" o:ole="">
            <v:imagedata r:id="rId35" o:title=""/>
          </v:shape>
          <o:OLEObject Type="Embed" ProgID="Equation.DSMT4" ShapeID="_x0000_i1041" DrawAspect="Content" ObjectID="_1732293106" r:id="rId36"/>
        </w:object>
      </w:r>
    </w:p>
    <w:p w14:paraId="00000031" w14:textId="77777777" w:rsidR="006C17FB" w:rsidRDefault="007C7D7F">
      <w:pPr>
        <w:rPr>
          <w:highlight w:val="yellow"/>
        </w:rPr>
      </w:pPr>
      <w:r>
        <w:rPr>
          <w:sz w:val="36"/>
          <w:szCs w:val="36"/>
          <w:highlight w:val="yellow"/>
          <w:vertAlign w:val="subscript"/>
        </w:rPr>
        <w:object w:dxaOrig="8321" w:dyaOrig="576" w14:anchorId="3FD2F5DC">
          <v:shape id="_x0000_i1042" type="#_x0000_t75" style="width:416pt;height:29pt" o:ole="">
            <v:imagedata r:id="rId37" o:title=""/>
          </v:shape>
          <o:OLEObject Type="Embed" ProgID="Equation.DSMT4" ShapeID="_x0000_i1042" DrawAspect="Content" ObjectID="_1732293107" r:id="rId38"/>
        </w:object>
      </w:r>
    </w:p>
    <w:p w14:paraId="00000032" w14:textId="77777777" w:rsidR="006C17FB" w:rsidRDefault="007C7D7F">
      <w:pPr>
        <w:rPr>
          <w:highlight w:val="yellow"/>
        </w:rPr>
      </w:pPr>
      <w:r>
        <w:rPr>
          <w:sz w:val="36"/>
          <w:szCs w:val="36"/>
          <w:highlight w:val="yellow"/>
          <w:vertAlign w:val="subscript"/>
        </w:rPr>
        <w:object w:dxaOrig="4655" w:dyaOrig="638" w14:anchorId="3F89E029">
          <v:shape id="_x0000_i1043" type="#_x0000_t75" style="width:233pt;height:32pt" o:ole="">
            <v:imagedata r:id="rId39" o:title=""/>
          </v:shape>
          <o:OLEObject Type="Embed" ProgID="Equation.DSMT4" ShapeID="_x0000_i1043" DrawAspect="Content" ObjectID="_1732293108" r:id="rId40"/>
        </w:object>
      </w:r>
    </w:p>
    <w:p w14:paraId="00000033" w14:textId="77777777" w:rsidR="006C17FB" w:rsidRDefault="007C7D7F">
      <w:r>
        <w:rPr>
          <w:sz w:val="36"/>
          <w:szCs w:val="36"/>
          <w:highlight w:val="yellow"/>
          <w:vertAlign w:val="subscript"/>
        </w:rPr>
        <w:object w:dxaOrig="6274" w:dyaOrig="638" w14:anchorId="3159997D">
          <v:shape id="_x0000_i1044" type="#_x0000_t75" style="width:313.5pt;height:32pt" o:ole="">
            <v:imagedata r:id="rId41" o:title=""/>
          </v:shape>
          <o:OLEObject Type="Embed" ProgID="Equation.DSMT4" ShapeID="_x0000_i1044" DrawAspect="Content" ObjectID="_1732293109" r:id="rId42"/>
        </w:object>
      </w:r>
    </w:p>
    <w:p w14:paraId="00000034" w14:textId="77777777" w:rsidR="006C17FB" w:rsidRDefault="007C7D7F">
      <w:r>
        <w:t>Здесь мы пренебрегли диффузией фосфотазы. L – координата вдоль микротрубочки (вполне подходит и для «кривой» микротрубочки).</w:t>
      </w:r>
    </w:p>
    <w:p w14:paraId="00000035" w14:textId="77777777" w:rsidR="006C17FB" w:rsidRDefault="007C7D7F">
      <w:r>
        <w:t>Пока не прописываем обмены между компартментами.</w:t>
      </w:r>
    </w:p>
    <w:p w14:paraId="00000036" w14:textId="77777777" w:rsidR="006C17FB" w:rsidRDefault="007C7D7F">
      <w:r>
        <w:t>Итого, первый блок – диффузия вдоль микротрубочки – система 4 уравнений типа реакция – диффузия. На поверхности микротрубочки нет рецепторов, учитываемых в объемной части.</w:t>
      </w:r>
    </w:p>
    <w:p w14:paraId="00000037" w14:textId="77777777" w:rsidR="006C17FB" w:rsidRDefault="007C7D7F">
      <w:r>
        <w:t>Обмены «объем-микротрубочка»</w:t>
      </w:r>
    </w:p>
    <w:p w14:paraId="00000038" w14:textId="77777777" w:rsidR="006C17FB" w:rsidRDefault="007C7D7F">
      <w:r>
        <w:t>В этом случае модифицируются уравнения для авроры и комплекса:</w:t>
      </w:r>
    </w:p>
    <w:p w14:paraId="00000039" w14:textId="77777777" w:rsidR="006C17FB" w:rsidRDefault="006C17FB">
      <w:pPr>
        <w:rPr>
          <w:highlight w:val="yellow"/>
        </w:rPr>
      </w:pPr>
    </w:p>
    <w:p w14:paraId="0000003A" w14:textId="77777777" w:rsidR="006C17FB" w:rsidRDefault="00E87114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∂A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∂t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∂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A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cat</m:t>
              </m:r>
            </m:sub>
          </m:sSub>
          <m:r>
            <w:rPr>
              <w:rFonts w:ascii="Cambria Math" w:eastAsia="Cambria Math" w:hAnsi="Cambria Math" w:cs="Cambria Math"/>
            </w:rPr>
            <m:t>A-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f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a</m:t>
              </m:r>
            </m:sup>
          </m:sSubSup>
          <m:r>
            <w:rPr>
              <w:rFonts w:ascii="Cambria Math" w:eastAsia="Cambria Math" w:hAnsi="Cambria Math" w:cs="Cambria Math"/>
            </w:rPr>
            <m:t>A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cat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PPase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</w:rPr>
                <m:t>Vol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r>
            <w:rPr>
              <w:rFonts w:ascii="Cambria Math" w:eastAsia="Cambria Math" w:hAnsi="Cambria Math" w:cs="Cambria Math"/>
            </w:rPr>
            <m:t>A</m:t>
          </m:r>
        </m:oMath>
      </m:oMathPara>
    </w:p>
    <w:p w14:paraId="0000003B" w14:textId="77777777" w:rsidR="006C17FB" w:rsidRDefault="00E87114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∂t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∂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cat</m:t>
              </m:r>
            </m:sub>
          </m:sSub>
          <m:r>
            <w:rPr>
              <w:rFonts w:ascii="Cambria Math" w:eastAsia="Cambria Math" w:hAnsi="Cambria Math" w:cs="Cambria Math"/>
            </w:rPr>
            <m:t>A-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f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a</m:t>
              </m:r>
            </m:sup>
          </m:sSubSup>
          <m:r>
            <w:rPr>
              <w:rFonts w:ascii="Cambria Math" w:eastAsia="Cambria Math" w:hAnsi="Cambria Math" w:cs="Cambria Math"/>
            </w:rPr>
            <m:t>A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2k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cat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PPase-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</w:rPr>
                        <m:t>PPase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PPase</m:t>
                  </m:r>
                </m:e>
              </m:d>
              <m:r>
                <w:rPr>
                  <w:rFonts w:ascii="Cambria Math" w:eastAsia="Cambria Math" w:hAnsi="Cambria Math" w:cs="Cambria Math"/>
                </w:rPr>
                <m:t>+k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eastAsia="Cambria Math" w:hAnsi="Cambria Math" w:cs="Cambria Math"/>
                </w:rPr>
                <m:t>Vol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p>
        </m:oMath>
      </m:oMathPara>
    </w:p>
    <w:p w14:paraId="0000003C" w14:textId="77777777" w:rsidR="006C17FB" w:rsidRDefault="007C7D7F">
      <w:pPr>
        <w:rPr>
          <w:highlight w:val="yellow"/>
        </w:rPr>
      </w:pPr>
      <w:r>
        <w:rPr>
          <w:highlight w:val="yellow"/>
        </w:rPr>
        <w:t>В этом месте надо проверить, одинаковые ли коэффициенты стоят в последних двух слагаемых</w:t>
      </w:r>
    </w:p>
    <w:p w14:paraId="0000003D" w14:textId="77777777" w:rsidR="006C17FB" w:rsidRDefault="006C17FB">
      <w:pPr>
        <w:rPr>
          <w:highlight w:val="yellow"/>
        </w:rPr>
      </w:pPr>
    </w:p>
    <w:p w14:paraId="0000003E" w14:textId="77777777" w:rsidR="006C17FB" w:rsidRDefault="00E87114">
      <w:pPr>
        <w:jc w:val="center"/>
        <w:rPr>
          <w:rFonts w:ascii="Cambria Math" w:eastAsia="Cambria Math" w:hAnsi="Cambria Math" w:cs="Cambria Math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∂t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AA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∂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ambria Math" w:hAnsi="Cambria Math" w:cs="Cambria Math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+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f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a</m:t>
              </m:r>
            </m:sup>
          </m:sSubSup>
          <m:r>
            <w:rPr>
              <w:rFonts w:ascii="Cambria Math" w:eastAsia="Cambria Math" w:hAnsi="Cambria Math" w:cs="Cambria Math"/>
            </w:rPr>
            <m:t>A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p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</w:rPr>
                <m:t>-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cat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Cambria Math"/>
                </w:rPr>
                <m:t>+k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="Cambria Math" w:hAnsi="Cambria Math" w:cs="Cambria Math"/>
                </w:rPr>
                <m:t>Vol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AA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</m:sup>
              </m:sSup>
            </m:e>
          </m:d>
        </m:oMath>
      </m:oMathPara>
    </w:p>
    <w:p w14:paraId="0000003F" w14:textId="77777777" w:rsidR="006C17FB" w:rsidRDefault="007C7D7F">
      <w:r>
        <w:t>А для «авроры пространственной» (Vol) на бесконечно тонкой микротрубочке появляется условие третьего рода</w:t>
      </w:r>
    </w:p>
    <w:p w14:paraId="00000040" w14:textId="77777777" w:rsidR="006C17FB" w:rsidRDefault="007C7D7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Vol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r=0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</w:rPr>
                <m:t>Vol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r>
            <w:rPr>
              <w:rFonts w:ascii="Cambria Math" w:eastAsia="Cambria Math" w:hAnsi="Cambria Math" w:cs="Cambria Math"/>
            </w:rPr>
            <m:t>A</m:t>
          </m:r>
        </m:oMath>
      </m:oMathPara>
    </w:p>
    <w:p w14:paraId="00000041" w14:textId="77777777" w:rsidR="006C17FB" w:rsidRDefault="007C7D7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∂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Vol</m:t>
                      </m:r>
                    </m:sub>
                  </m:sSub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r=0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Vol</m:t>
                  </m:r>
                </m:sub>
              </m:sSub>
            </m:e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p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*</m:t>
              </m:r>
            </m:sup>
          </m:sSup>
        </m:oMath>
      </m:oMathPara>
    </w:p>
    <w:p w14:paraId="00000042" w14:textId="77777777" w:rsidR="006C17FB" w:rsidRDefault="007C7D7F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AA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∂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*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Vol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r=0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+</m:t>
              </m:r>
            </m:sup>
          </m:sSubSup>
          <m:r>
            <w:rPr>
              <w:rFonts w:ascii="Cambria Math" w:eastAsia="Cambria Math" w:hAnsi="Cambria Math" w:cs="Cambria Math"/>
            </w:rPr>
            <m:t>π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*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="Cambria Math" w:hAnsi="Cambria Math" w:cs="Cambria Math"/>
                </w:rPr>
                <m:t>Vol</m:t>
              </m:r>
            </m:sub>
          </m:sSub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AA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</w:rPr>
                <m:t>AA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-</m:t>
              </m:r>
            </m:sup>
          </m:sSubSup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*</m:t>
                  </m:r>
                </m:sup>
              </m:sSup>
            </m:e>
          </m:d>
        </m:oMath>
      </m:oMathPara>
    </w:p>
    <w:p w14:paraId="00000043" w14:textId="77777777" w:rsidR="006C17FB" w:rsidRDefault="007C7D7F">
      <w:r>
        <w:rPr>
          <w:color w:val="FF0000"/>
        </w:rPr>
        <w:t>В этих равенствах стоят «пространственные» коэффициенты диффузии</w:t>
      </w:r>
      <w:r>
        <w:t>. Таким образом, на части границы имеем стандартное условие симметрии, на части границы, соответствующей микротрубочке, имеем условие третьего рода. Для вычисления правой части приходится решать одномерное уравнение диффузии.</w:t>
      </w:r>
    </w:p>
    <w:sectPr w:rsidR="006C17F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7FB"/>
    <w:rsid w:val="006C17FB"/>
    <w:rsid w:val="007C7D7F"/>
    <w:rsid w:val="00E8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E1EE7"/>
  <w15:docId w15:val="{77AFF96F-1B6F-47FA-9E58-8A9AED85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Placeholder Text"/>
    <w:basedOn w:val="a0"/>
    <w:uiPriority w:val="99"/>
    <w:semiHidden/>
    <w:rsid w:val="00183D39"/>
    <w:rPr>
      <w:color w:val="808080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E871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871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3.bin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9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4.bin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2cmPYt72nd5v8Dt6fHJsOj+mXg==">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Лобанов</dc:creator>
  <cp:lastModifiedBy>User</cp:lastModifiedBy>
  <cp:revision>3</cp:revision>
  <dcterms:created xsi:type="dcterms:W3CDTF">2021-02-21T08:01:00Z</dcterms:created>
  <dcterms:modified xsi:type="dcterms:W3CDTF">2022-12-11T16:45:00Z</dcterms:modified>
</cp:coreProperties>
</file>