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and Conclusion</w:t>
      </w:r>
    </w:p>
    <w:p>
      <w:pPr>
        <w:pStyle w:val="Heading2"/>
      </w:pPr>
      <w:r>
        <w:t>1. Discussion</w:t>
      </w:r>
    </w:p>
    <w:p>
      <w:r>
        <w:t>The SUMO-based evaluation demonstrates the feasibility of integrating security processing, trust management, and blockchain-style logging into a V2X communication workflow. The normalized PDR remains stable across different densities and speeds under the tested conditions, indicating that the security mechanisms do not collapse the communication layer. Delay remains low because cryptographic operations are modeled as fixed processing delays.</w:t>
      </w:r>
    </w:p>
    <w:p>
      <w:r>
        <w:t>Trust and blockchain mechanisms introduce additional control-plane overhead (misbehavior reports and periodic commits). This overhead is justified because it enables detection and mitigation of misbehaving nodes, and supports trust-based handover decisions at RSUs. Threshold sweeps highlight a trade-off: higher fast thresholds reduce risk but may increase rejections; lower thresholds improve availability but reduce resilience.</w:t>
      </w:r>
    </w:p>
    <w:p>
      <w:pPr>
        <w:pStyle w:val="Heading2"/>
      </w:pPr>
      <w:r>
        <w:t>2. Threats to Validity</w:t>
      </w:r>
    </w:p>
    <w:p>
      <w:r>
        <w:t>Results depend on assumptions about wireless propagation, cryptographic delay modeling, and attacker behavior. Real deployments may observe different timing due to hardware and channel conditions. RSU placement and mobility routes also influence handover frequency.</w:t>
      </w:r>
    </w:p>
    <w:p>
      <w:pPr>
        <w:pStyle w:val="Heading2"/>
      </w:pPr>
      <w:r>
        <w:t>3. Conclusion</w:t>
      </w:r>
    </w:p>
    <w:p>
      <w:r>
        <w:t>This project presents a secure trust-based V2X communication model with blockchain support implemented in ns-3 and evaluated under SUMO mobility. The integrated approach shows that security checks, trust updates, and ledger commits can coexist with V2X data exchange while maintaining stable delivery performance.</w:t>
      </w:r>
    </w:p>
    <w:p>
      <w:pPr>
        <w:pStyle w:val="Heading2"/>
      </w:pPr>
      <w:r>
        <w:t>4. Future Work</w:t>
      </w:r>
    </w:p>
    <w:p>
      <w:r>
        <w:t>Future work includes: (i) integrating real cryptographic libraries or more detailed timing models; (ii) exploring more realistic RSU deployment strategies and multi-hop V2I relaying; (iii) adding additional attacker types (Sybil, message tampering, DoS); (iv) scaling to larger maps and longer simulation durations.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