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2E75B6"/>
          <w:sz w:val="48"/>
          <w:szCs w:val="48"/>
        </w:rPr>
        <w:t xml:space="preserve">SII-SIA19</w:t>
      </w:r>
    </w:p>
    <w:p>
      <w:pPr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Integrated Real Estate Market Analysis System</w:t>
      </w:r>
    </w:p>
    <w:p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P3. Integration and Analytical Model</w:t>
      </w:r>
    </w:p>
    <w:p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OLAP Multidimensional Analysis — CUBE, ROLLUP, GROUPING SETS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Integration Model Overview</w:t>
      </w:r>
    </w:p>
    <w:p>
      <w:r>
        <w:rPr>
          <w:rFonts w:ascii="Arial" w:cs="Arial" w:eastAsia="Arial" w:hAnsi="Arial"/>
          <w:sz w:val="24"/>
          <w:szCs w:val="24"/>
        </w:rPr>
        <w:t xml:space="preserve">The integration model builds upon the Access Model views defined in P2, combining data from all federated sources into a unified dimensional model suitable for OLAP analysis. All integration views reside in the FDBO schema and reference the access model views directly — no ETL or data copying is performed.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Dimensional Views (Consolidation Layer)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View Name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Sources Combined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OLAP_DIM_CUSTS_CITIES_DEPTS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AM_POSTGREST_CUSTOMERS_VIEW + AM_JSON_MONGODB_LOCATIONS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Customers with city names and geographic coordinates from MongoDB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OLAP_DIM_DATA_CALENDAR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EXT_XLS_PERIODS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Time dimension with year, quarter, period name from CSV file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OLAP_DIM_CUST_CTG_TO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AM_POSTGREST_CUSTOMERS_VIEW + EXT_CSV_CUSTOMER_CATEGORIES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Customer dimension with category (Premium/Standard/Corporate/Student)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OLAP_DIM_CUST_CTG_EMP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AM_SALES_VIEW + AM_POSTGREST_CUSTOMERS_VIEW + EXT_CSV_CUSTOMER_CATEGORIES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Employee-customer category dimension for sales analysis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PRODUCTS_VIEW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SALES.PRODUCTS (Oracle)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Product dimension with category and price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PERIODS_VIEW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EXT_XLS_PERIODS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Calendar periods dimension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Fact View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3.1 OLAP_FACTS_SALES_AMOUNT</w:t>
      </w:r>
    </w:p>
    <w:p>
      <w:r>
        <w:rPr>
          <w:rFonts w:ascii="Arial" w:cs="Arial" w:eastAsia="Arial" w:hAnsi="Arial"/>
          <w:sz w:val="24"/>
          <w:szCs w:val="24"/>
        </w:rPr>
        <w:t xml:space="preserve">The central fact view joins data from all 5 data sources into a single denormalized fact table. Grain: one row per sale transaction. The view combines Oracle sales data, PostgreSQL customer data, CSV category data, and MongoDB location data.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Measure / 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Column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Source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Fact: Sale amount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TOTAL_AMOUNT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Oracle SALES.SALES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Fact: Quantity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QUANTITY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Oracle SALES.SALES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Fact: Unit price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UNIT_PRICE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Oracle SALES.SALES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Dim: Product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PRODUCT_NAME, CATEGORY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Oracle SALES.PRODUCTS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Dim: Employee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EMPLOYEE_NAME, DEPARTMENT_NAME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Oracle SALES.EMPLOYEES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Dim: Customer category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CATEGORY_NAME, DISCOUNT_PCT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CSV EXT_CSV_CUSTOMER_CATEGORIES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Dim: Geography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CITY_NAME, DEPARTMENT_ID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MongoDB AM_JSON_MONGODB_LOCATIONS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Dim: Time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SALE_YEAR, SALE_MONTH, SALE_QUARTER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Computed from SALE_DATE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Sample result: 12 fact rows for 2024, total sales amount 31,130 RON across all quarters.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Analytical Views (OLAP Layer)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View 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OLAP Operation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Dimensions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Key Insight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OLAP_VIEW_SALES_DEP_CIT_CUST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ROLLUP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Department, City, Customer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Hierarchical subtotals: per customer → per city → per department → grand total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OLAP_VIEW_SALES_CALENDAR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ROLLUP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Year, Quarter, Month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Time hierarchy: monthly → quarterly → yearly → grand total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OLAP_VIEW_SALES_CTG_CUST_TO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CUBE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Category, City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Cross-tabulation: all combinations of category and city including subtotals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OLAP_VIEW_SALES_CTG_CUST_EMP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GROUPING SETS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Category, Department, Employee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Custom groupings: full detail + by department + by category + grand total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4.1 ROLLUP Calendar Results (Sample)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Year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Quarter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Month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Total Sales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Nr Sales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2024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9,700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2024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1,700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2024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8,600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2024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(subtotal)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20,000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2024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4,080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2024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4,100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2024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2,950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2024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(subtotal)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11,130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2024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(subtotal)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31,130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(Grand total)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31,130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12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4.2 CUBE Results — Category x City (Sample)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Category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City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Total Sales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Nr Sales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Corporate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Brasov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2,400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Corporate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Cluj-Napoca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1,400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Premium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Bucuresti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8,600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Premium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Constanta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1,300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Premium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Timisoara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3,200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Standard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Bucuresti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300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Standard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Cluj-Napoca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1,680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Standard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Iasi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4,050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Student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Craiova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5,400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Student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Galati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2,800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Script Reference</w:t>
      </w:r>
    </w:p>
    <w:p>
      <w:r>
        <w:rPr>
          <w:rFonts w:ascii="Arial" w:cs="Arial" w:eastAsia="Arial" w:hAnsi="Arial"/>
          <w:sz w:val="24"/>
          <w:szCs w:val="24"/>
        </w:rPr>
        <w:t xml:space="preserve">All integration and analytical views are defined in: 3_Integration_Model/31_OLAP_Multidimensional_Analytical.sql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300"/>
      <w:outlineLvl w:val="0"/>
    </w:pPr>
    <w:rPr>
      <w:rFonts w:ascii="Arial" w:cs="Arial" w:eastAsia="Arial" w:hAnsi="Arial"/>
      <w:b/>
      <w:bCs/>
      <w:color w:val="2E75B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2026-03-30T14:11:29.678Z</dcterms:created>
  <dcterms:modified xsi:type="dcterms:W3CDTF">2026-03-30T14:11:29.678Z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