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 REKONSILIASI EVENT ALAT &amp; DOWNTIME</w:t>
      </w:r>
    </w:p>
    <w:tbl>
      <w:tblPr>
        <w:tblW w:type="auto" w:w="0"/>
        <w:jc w:val="left"/>
        <w:tblLook w:firstColumn="1" w:firstRow="1" w:lastColumn="0" w:lastRow="0" w:noHBand="0" w:noVBand="1" w:val="04A0"/>
      </w:tblPr>
      <w:tblGrid>
        <w:gridCol w:w="2657"/>
        <w:gridCol w:w="2657"/>
        <w:gridCol w:w="2657"/>
        <w:gridCol w:w="2657"/>
      </w:tblGrid>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Nomor Dokumen</w:t>
            </w:r>
          </w:p>
        </w:tc>
        <w:tc>
          <w:tcPr>
            <w:tcW w:type="dxa" w:w="2657"/>
            <w:vAlign w:val="center"/>
            <w:tcBorders>
              <w:top w:val="single" w:sz="6" w:color="D1D5DB"/>
              <w:left w:val="single" w:sz="6" w:color="D1D5DB"/>
              <w:bottom w:val="single" w:sz="6" w:color="D1D5DB"/>
              <w:right w:val="single" w:sz="6" w:color="D1D5DB"/>
            </w:tcBorders>
          </w:tcPr>
          <w:p>
            <w:r>
              <w:t>OPS-SOP-034</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Revisi</w:t>
            </w:r>
          </w:p>
        </w:tc>
        <w:tc>
          <w:tcPr>
            <w:tcW w:type="dxa" w:w="2657"/>
            <w:vAlign w:val="center"/>
            <w:tcBorders>
              <w:top w:val="single" w:sz="6" w:color="D1D5DB"/>
              <w:left w:val="single" w:sz="6" w:color="D1D5DB"/>
              <w:bottom w:val="single" w:sz="6" w:color="D1D5DB"/>
              <w:right w:val="single" w:sz="6" w:color="D1D5DB"/>
            </w:tcBorders>
          </w:tcPr>
          <w:p>
            <w:r>
              <w:t>03</w:t>
            </w:r>
          </w:p>
        </w:tc>
      </w:tr>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Pemilik Proses</w:t>
            </w:r>
          </w:p>
        </w:tc>
        <w:tc>
          <w:tcPr>
            <w:tcW w:type="dxa" w:w="2657"/>
            <w:vAlign w:val="center"/>
            <w:tcBorders>
              <w:top w:val="single" w:sz="6" w:color="D1D5DB"/>
              <w:left w:val="single" w:sz="6" w:color="D1D5DB"/>
              <w:bottom w:val="single" w:sz="6" w:color="D1D5DB"/>
              <w:right w:val="single" w:sz="6" w:color="D1D5DB"/>
            </w:tcBorders>
          </w:tcPr>
          <w:p>
            <w:r>
              <w:t>Operasi Tambang</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Tanggal Berlaku</w:t>
            </w:r>
          </w:p>
        </w:tc>
        <w:tc>
          <w:tcPr>
            <w:tcW w:type="dxa" w:w="2657"/>
            <w:vAlign w:val="center"/>
            <w:tcBorders>
              <w:top w:val="single" w:sz="6" w:color="D1D5DB"/>
              <w:left w:val="single" w:sz="6" w:color="D1D5DB"/>
              <w:bottom w:val="single" w:sz="6" w:color="D1D5DB"/>
              <w:right w:val="single" w:sz="6" w:color="D1D5DB"/>
            </w:tcBorders>
          </w:tcPr>
          <w:p>
            <w:r>
              <w:t>01 Oktober 2026</w:t>
            </w:r>
          </w:p>
        </w:tc>
      </w:tr>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Disetujui Oleh</w:t>
            </w:r>
          </w:p>
        </w:tc>
        <w:tc>
          <w:tcPr>
            <w:tcW w:type="dxa" w:w="2657"/>
            <w:vAlign w:val="center"/>
            <w:tcBorders>
              <w:top w:val="single" w:sz="6" w:color="D1D5DB"/>
              <w:left w:val="single" w:sz="6" w:color="D1D5DB"/>
              <w:bottom w:val="single" w:sz="6" w:color="D1D5DB"/>
              <w:right w:val="single" w:sz="6" w:color="D1D5DB"/>
            </w:tcBorders>
          </w:tcPr>
          <w:p>
            <w:r>
              <w:t>Operations Manager</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Siklus Review</w:t>
            </w:r>
          </w:p>
        </w:tc>
        <w:tc>
          <w:tcPr>
            <w:tcW w:type="dxa" w:w="2657"/>
            <w:vAlign w:val="center"/>
            <w:tcBorders>
              <w:top w:val="single" w:sz="6" w:color="D1D5DB"/>
              <w:left w:val="single" w:sz="6" w:color="D1D5DB"/>
              <w:bottom w:val="single" w:sz="6" w:color="D1D5DB"/>
              <w:right w:val="single" w:sz="6" w:color="D1D5DB"/>
            </w:tcBorders>
          </w:tcPr>
          <w:p>
            <w:r>
              <w:t>12 bulan</w:t>
            </w:r>
          </w:p>
        </w:tc>
      </w:tr>
    </w:tbl>
    <w:p/>
    <w:p>
      <w:pPr>
        <w:pStyle w:val="Heading1"/>
      </w:pPr>
      <w:r>
        <w:t>1. Tujuan</w:t>
      </w:r>
    </w:p>
    <w:p>
      <w:r>
        <w:t>Menetapkan cara merekonsiliasi equipment event, durasi downtime, catatan supervisor, dan technical finding sebelum informasi tersebut digunakan untuk analisis performa operasional atau management reporting.</w:t>
      </w:r>
    </w:p>
    <w:p>
      <w:pPr>
        <w:pStyle w:val="Heading1"/>
      </w:pPr>
      <w:r>
        <w:t>2. Ruang Lingkup</w:t>
      </w:r>
    </w:p>
    <w:p>
      <w:r>
        <w:t>Berlaku untuk mobile equipment yang material terhadap produksi serta event operasional pendukung yang tercatat pada system event log, shift handover, maintenance record, dan production summary.</w:t>
      </w:r>
    </w:p>
    <w:p>
      <w:pPr>
        <w:pStyle w:val="Heading1"/>
      </w:pPr>
      <w:r>
        <w:t>3. Penggunaan Source Berdasarkan Tujuan</w:t>
      </w:r>
    </w:p>
    <w:tbl>
      <w:tblPr>
        <w:tblW w:type="auto" w:w="0"/>
        <w:jc w:val="left"/>
        <w:tblLook w:firstColumn="1" w:firstRow="1" w:lastColumn="0" w:lastRow="0" w:noHBand="0" w:noVBand="1" w:val="04A0"/>
      </w:tblPr>
      <w:tblGrid>
        <w:gridCol w:w="3543"/>
        <w:gridCol w:w="3543"/>
        <w:gridCol w:w="3543"/>
      </w:tblGrid>
      <w:tr>
        <w:trPr>
          <w:tblHeader w:val="true"/>
        </w:trPr>
        <w:tc>
          <w:tcPr>
            <w:tcW w:type="dxa" w:w="3543"/>
            <w:shd w:fill="2D1558"/>
            <w:tcBorders>
              <w:top w:val="single" w:sz="6" w:color="D1D5DB"/>
              <w:left w:val="single" w:sz="6" w:color="D1D5DB"/>
              <w:bottom w:val="single" w:sz="6" w:color="D1D5DB"/>
              <w:right w:val="single" w:sz="6" w:color="D1D5DB"/>
            </w:tcBorders>
          </w:tcPr>
          <w:p>
            <w:r>
              <w:rPr>
                <w:b/>
                <w:color w:val="FFFFFF"/>
              </w:rPr>
              <w:t>Source</w:t>
            </w:r>
          </w:p>
        </w:tc>
        <w:tc>
          <w:tcPr>
            <w:tcW w:type="dxa" w:w="3543"/>
            <w:shd w:fill="2D1558"/>
            <w:tcBorders>
              <w:top w:val="single" w:sz="6" w:color="D1D5DB"/>
              <w:left w:val="single" w:sz="6" w:color="D1D5DB"/>
              <w:bottom w:val="single" w:sz="6" w:color="D1D5DB"/>
              <w:right w:val="single" w:sz="6" w:color="D1D5DB"/>
            </w:tcBorders>
          </w:tcPr>
          <w:p>
            <w:r>
              <w:rPr>
                <w:b/>
                <w:color w:val="FFFFFF"/>
              </w:rPr>
              <w:t>Penggunaan utama</w:t>
            </w:r>
          </w:p>
        </w:tc>
        <w:tc>
          <w:tcPr>
            <w:tcW w:type="dxa" w:w="3543"/>
            <w:shd w:fill="2D1558"/>
            <w:tcBorders>
              <w:top w:val="single" w:sz="6" w:color="D1D5DB"/>
              <w:left w:val="single" w:sz="6" w:color="D1D5DB"/>
              <w:bottom w:val="single" w:sz="6" w:color="D1D5DB"/>
              <w:right w:val="single" w:sz="6" w:color="D1D5DB"/>
            </w:tcBorders>
          </w:tcPr>
          <w:p>
            <w:r>
              <w:rPr>
                <w:b/>
                <w:color w:val="FFFFFF"/>
              </w:rPr>
              <w:t>Control</w:t>
            </w:r>
          </w:p>
        </w:tc>
      </w:tr>
      <w:tr>
        <w:trPr>
          <w:cantSplit/>
        </w:trPr>
        <w:tc>
          <w:tcPr>
            <w:tcW w:type="dxa" w:w="3543"/>
            <w:tcBorders>
              <w:top w:val="single" w:sz="6" w:color="D1D5DB"/>
              <w:left w:val="single" w:sz="6" w:color="D1D5DB"/>
              <w:bottom w:val="single" w:sz="6" w:color="D1D5DB"/>
              <w:right w:val="single" w:sz="6" w:color="D1D5DB"/>
            </w:tcBorders>
          </w:tcPr>
          <w:p>
            <w:r>
              <w:t>System / fleet event log</w:t>
            </w:r>
          </w:p>
        </w:tc>
        <w:tc>
          <w:tcPr>
            <w:tcW w:type="dxa" w:w="3543"/>
            <w:tcBorders>
              <w:top w:val="single" w:sz="6" w:color="D1D5DB"/>
              <w:left w:val="single" w:sz="6" w:color="D1D5DB"/>
              <w:bottom w:val="single" w:sz="6" w:color="D1D5DB"/>
              <w:right w:val="single" w:sz="6" w:color="D1D5DB"/>
            </w:tcBorders>
          </w:tcPr>
          <w:p>
            <w:r>
              <w:t>Recorded event start/end time, status, lokasi, asset.</w:t>
            </w:r>
          </w:p>
        </w:tc>
        <w:tc>
          <w:tcPr>
            <w:tcW w:type="dxa" w:w="3543"/>
            <w:tcBorders>
              <w:top w:val="single" w:sz="6" w:color="D1D5DB"/>
              <w:left w:val="single" w:sz="6" w:color="D1D5DB"/>
              <w:bottom w:val="single" w:sz="6" w:color="D1D5DB"/>
              <w:right w:val="single" w:sz="6" w:color="D1D5DB"/>
            </w:tcBorders>
          </w:tcPr>
          <w:p>
            <w:r>
              <w:t>Gunakan system timestamp sebagai referensi event timing bila tersedia.</w:t>
            </w:r>
          </w:p>
        </w:tc>
      </w:tr>
      <w:tr>
        <w:trPr>
          <w:cantSplit/>
        </w:trPr>
        <w:tc>
          <w:tcPr>
            <w:tcW w:type="dxa" w:w="3543"/>
            <w:tcBorders>
              <w:top w:val="single" w:sz="6" w:color="D1D5DB"/>
              <w:left w:val="single" w:sz="6" w:color="D1D5DB"/>
              <w:bottom w:val="single" w:sz="6" w:color="D1D5DB"/>
              <w:right w:val="single" w:sz="6" w:color="D1D5DB"/>
            </w:tcBorders>
            <w:shd w:fill="F8FAFC"/>
          </w:tcPr>
          <w:p>
            <w:r>
              <w:t>Shift handover</w:t>
            </w:r>
          </w:p>
        </w:tc>
        <w:tc>
          <w:tcPr>
            <w:tcW w:type="dxa" w:w="3543"/>
            <w:tcBorders>
              <w:top w:val="single" w:sz="6" w:color="D1D5DB"/>
              <w:left w:val="single" w:sz="6" w:color="D1D5DB"/>
              <w:bottom w:val="single" w:sz="6" w:color="D1D5DB"/>
              <w:right w:val="single" w:sz="6" w:color="D1D5DB"/>
            </w:tcBorders>
            <w:shd w:fill="F8FAFC"/>
          </w:tcPr>
          <w:p>
            <w:r>
              <w:t>Konteks operasional, observasi, pertanyaan terbuka.</w:t>
            </w:r>
          </w:p>
        </w:tc>
        <w:tc>
          <w:tcPr>
            <w:tcW w:type="dxa" w:w="3543"/>
            <w:tcBorders>
              <w:top w:val="single" w:sz="6" w:color="D1D5DB"/>
              <w:left w:val="single" w:sz="6" w:color="D1D5DB"/>
              <w:bottom w:val="single" w:sz="6" w:color="D1D5DB"/>
              <w:right w:val="single" w:sz="6" w:color="D1D5DB"/>
            </w:tcBorders>
            <w:shd w:fill="F8FAFC"/>
          </w:tcPr>
          <w:p>
            <w:r>
              <w:t>Durasi naratif dapat bersifat perkiraan dan tidak boleh diam-diam menggantikan system time.</w:t>
            </w:r>
          </w:p>
        </w:tc>
      </w:tr>
      <w:tr>
        <w:trPr>
          <w:cantSplit/>
        </w:trPr>
        <w:tc>
          <w:tcPr>
            <w:tcW w:type="dxa" w:w="3543"/>
            <w:tcBorders>
              <w:top w:val="single" w:sz="6" w:color="D1D5DB"/>
              <w:left w:val="single" w:sz="6" w:color="D1D5DB"/>
              <w:bottom w:val="single" w:sz="6" w:color="D1D5DB"/>
              <w:right w:val="single" w:sz="6" w:color="D1D5DB"/>
            </w:tcBorders>
          </w:tcPr>
          <w:p>
            <w:r>
              <w:t>Maintenance record</w:t>
            </w:r>
          </w:p>
        </w:tc>
        <w:tc>
          <w:tcPr>
            <w:tcW w:type="dxa" w:w="3543"/>
            <w:tcBorders>
              <w:top w:val="single" w:sz="6" w:color="D1D5DB"/>
              <w:left w:val="single" w:sz="6" w:color="D1D5DB"/>
              <w:bottom w:val="single" w:sz="6" w:color="D1D5DB"/>
              <w:right w:val="single" w:sz="6" w:color="D1D5DB"/>
            </w:tcBorders>
          </w:tcPr>
          <w:p>
            <w:r>
              <w:t>Technical inspection atau maintenance finding.</w:t>
            </w:r>
          </w:p>
        </w:tc>
        <w:tc>
          <w:tcPr>
            <w:tcW w:type="dxa" w:w="3543"/>
            <w:tcBorders>
              <w:top w:val="single" w:sz="6" w:color="D1D5DB"/>
              <w:left w:val="single" w:sz="6" w:color="D1D5DB"/>
              <w:bottom w:val="single" w:sz="6" w:color="D1D5DB"/>
              <w:right w:val="single" w:sz="6" w:color="D1D5DB"/>
            </w:tcBorders>
          </w:tcPr>
          <w:p>
            <w:r>
              <w:t>Technical finding tidak otomatis membuktikan production impact.</w:t>
            </w:r>
          </w:p>
        </w:tc>
      </w:tr>
      <w:tr>
        <w:trPr>
          <w:cantSplit/>
        </w:trPr>
        <w:tc>
          <w:tcPr>
            <w:tcW w:type="dxa" w:w="3543"/>
            <w:tcBorders>
              <w:top w:val="single" w:sz="6" w:color="D1D5DB"/>
              <w:left w:val="single" w:sz="6" w:color="D1D5DB"/>
              <w:bottom w:val="single" w:sz="6" w:color="D1D5DB"/>
              <w:right w:val="single" w:sz="6" w:color="D1D5DB"/>
            </w:tcBorders>
            <w:shd w:fill="F8FAFC"/>
          </w:tcPr>
          <w:p>
            <w:r>
              <w:t>Production record</w:t>
            </w:r>
          </w:p>
        </w:tc>
        <w:tc>
          <w:tcPr>
            <w:tcW w:type="dxa" w:w="3543"/>
            <w:tcBorders>
              <w:top w:val="single" w:sz="6" w:color="D1D5DB"/>
              <w:left w:val="single" w:sz="6" w:color="D1D5DB"/>
              <w:bottom w:val="single" w:sz="6" w:color="D1D5DB"/>
              <w:right w:val="single" w:sz="6" w:color="D1D5DB"/>
            </w:tcBorders>
            <w:shd w:fill="F8FAFC"/>
          </w:tcPr>
          <w:p>
            <w:r>
              <w:t>Plan, actual, variance, hourly performance.</w:t>
            </w:r>
          </w:p>
        </w:tc>
        <w:tc>
          <w:tcPr>
            <w:tcW w:type="dxa" w:w="3543"/>
            <w:tcBorders>
              <w:top w:val="single" w:sz="6" w:color="D1D5DB"/>
              <w:left w:val="single" w:sz="6" w:color="D1D5DB"/>
              <w:bottom w:val="single" w:sz="6" w:color="D1D5DB"/>
              <w:right w:val="single" w:sz="6" w:color="D1D5DB"/>
            </w:tcBorders>
            <w:shd w:fill="F8FAFC"/>
          </w:tcPr>
          <w:p>
            <w:r>
              <w:t>Performance gap tidak otomatis membuktikan event penyebab loss.</w:t>
            </w:r>
          </w:p>
        </w:tc>
      </w:tr>
    </w:tbl>
    <w:p>
      <w:pPr>
        <w:pStyle w:val="Heading1"/>
      </w:pPr>
      <w:r>
        <w:t>4. Status Event</w:t>
      </w:r>
    </w:p>
    <w:tbl>
      <w:tblPr>
        <w:tblW w:type="auto" w:w="0"/>
        <w:jc w:val="left"/>
        <w:tblLook w:firstColumn="1" w:firstRow="1" w:lastColumn="0" w:lastRow="0" w:noHBand="0" w:noVBand="1" w:val="04A0"/>
      </w:tblPr>
      <w:tblGrid>
        <w:gridCol w:w="5314"/>
        <w:gridCol w:w="5314"/>
      </w:tblGrid>
      <w:tr>
        <w:trPr>
          <w:tblHeader w:val="true"/>
        </w:trPr>
        <w:tc>
          <w:tcPr>
            <w:tcW w:type="dxa" w:w="5314"/>
            <w:shd w:fill="2D1558"/>
            <w:tcBorders>
              <w:top w:val="single" w:sz="6" w:color="D1D5DB"/>
              <w:left w:val="single" w:sz="6" w:color="D1D5DB"/>
              <w:bottom w:val="single" w:sz="6" w:color="D1D5DB"/>
              <w:right w:val="single" w:sz="6" w:color="D1D5DB"/>
            </w:tcBorders>
          </w:tcPr>
          <w:p>
            <w:r>
              <w:rPr>
                <w:b/>
                <w:color w:val="FFFFFF"/>
              </w:rPr>
              <w:t>Status</w:t>
            </w:r>
          </w:p>
        </w:tc>
        <w:tc>
          <w:tcPr>
            <w:tcW w:type="dxa" w:w="5314"/>
            <w:shd w:fill="2D1558"/>
            <w:tcBorders>
              <w:top w:val="single" w:sz="6" w:color="D1D5DB"/>
              <w:left w:val="single" w:sz="6" w:color="D1D5DB"/>
              <w:bottom w:val="single" w:sz="6" w:color="D1D5DB"/>
              <w:right w:val="single" w:sz="6" w:color="D1D5DB"/>
            </w:tcBorders>
          </w:tcPr>
          <w:p>
            <w:r>
              <w:rPr>
                <w:b/>
                <w:color w:val="FFFFFF"/>
              </w:rPr>
              <w:t>Makna</w:t>
            </w:r>
          </w:p>
        </w:tc>
      </w:tr>
      <w:tr>
        <w:trPr>
          <w:cantSplit/>
        </w:trPr>
        <w:tc>
          <w:tcPr>
            <w:tcW w:type="dxa" w:w="5314"/>
            <w:tcBorders>
              <w:top w:val="single" w:sz="6" w:color="D1D5DB"/>
              <w:left w:val="single" w:sz="6" w:color="D1D5DB"/>
              <w:bottom w:val="single" w:sz="6" w:color="D1D5DB"/>
              <w:right w:val="single" w:sz="6" w:color="D1D5DB"/>
            </w:tcBorders>
          </w:tcPr>
          <w:p>
            <w:r>
              <w:t>OPEN</w:t>
            </w:r>
          </w:p>
        </w:tc>
        <w:tc>
          <w:tcPr>
            <w:tcW w:type="dxa" w:w="5314"/>
            <w:tcBorders>
              <w:top w:val="single" w:sz="6" w:color="D1D5DB"/>
              <w:left w:val="single" w:sz="6" w:color="D1D5DB"/>
              <w:bottom w:val="single" w:sz="6" w:color="D1D5DB"/>
              <w:right w:val="single" w:sz="6" w:color="D1D5DB"/>
            </w:tcBorders>
          </w:tcPr>
          <w:p>
            <w:r>
              <w:t>Event atau discrepancy masih memerlukan verification.</w:t>
            </w:r>
          </w:p>
        </w:tc>
      </w:tr>
      <w:tr>
        <w:trPr>
          <w:cantSplit/>
        </w:trPr>
        <w:tc>
          <w:tcPr>
            <w:tcW w:type="dxa" w:w="5314"/>
            <w:tcBorders>
              <w:top w:val="single" w:sz="6" w:color="D1D5DB"/>
              <w:left w:val="single" w:sz="6" w:color="D1D5DB"/>
              <w:bottom w:val="single" w:sz="6" w:color="D1D5DB"/>
              <w:right w:val="single" w:sz="6" w:color="D1D5DB"/>
            </w:tcBorders>
            <w:shd w:fill="F8FAFC"/>
          </w:tcPr>
          <w:p>
            <w:r>
              <w:t>RECONCILED</w:t>
            </w:r>
          </w:p>
        </w:tc>
        <w:tc>
          <w:tcPr>
            <w:tcW w:type="dxa" w:w="5314"/>
            <w:tcBorders>
              <w:top w:val="single" w:sz="6" w:color="D1D5DB"/>
              <w:left w:val="single" w:sz="6" w:color="D1D5DB"/>
              <w:bottom w:val="single" w:sz="6" w:color="D1D5DB"/>
              <w:right w:val="single" w:sz="6" w:color="D1D5DB"/>
            </w:tcBorders>
            <w:shd w:fill="F8FAFC"/>
          </w:tcPr>
          <w:p>
            <w:r>
              <w:t>Source terkait sudah dibandingkan dan resolving source sudah didokumentasikan.</w:t>
            </w:r>
          </w:p>
        </w:tc>
      </w:tr>
      <w:tr>
        <w:trPr>
          <w:cantSplit/>
        </w:trPr>
        <w:tc>
          <w:tcPr>
            <w:tcW w:type="dxa" w:w="5314"/>
            <w:tcBorders>
              <w:top w:val="single" w:sz="6" w:color="D1D5DB"/>
              <w:left w:val="single" w:sz="6" w:color="D1D5DB"/>
              <w:bottom w:val="single" w:sz="6" w:color="D1D5DB"/>
              <w:right w:val="single" w:sz="6" w:color="D1D5DB"/>
            </w:tcBorders>
          </w:tcPr>
          <w:p>
            <w:r>
              <w:t>CLOSED</w:t>
            </w:r>
          </w:p>
        </w:tc>
        <w:tc>
          <w:tcPr>
            <w:tcW w:type="dxa" w:w="5314"/>
            <w:tcBorders>
              <w:top w:val="single" w:sz="6" w:color="D1D5DB"/>
              <w:left w:val="single" w:sz="6" w:color="D1D5DB"/>
              <w:bottom w:val="single" w:sz="6" w:color="D1D5DB"/>
              <w:right w:val="single" w:sz="6" w:color="D1D5DB"/>
            </w:tcBorders>
          </w:tcPr>
          <w:p>
            <w:r>
              <w:t>Event record lengkap dan tidak ada material reconciliation item yang tersisa.</w:t>
            </w:r>
          </w:p>
        </w:tc>
      </w:tr>
    </w:tbl>
    <w:p>
      <w:pPr>
        <w:pStyle w:val="Heading1"/>
      </w:pPr>
      <w:r>
        <w:t>5. Prosedur Rekonsiliasi</w:t>
      </w:r>
    </w:p>
    <w:p>
      <w:pPr>
        <w:pStyle w:val="ListNumber"/>
        <w:spacing w:after="20"/>
      </w:pPr>
      <w:r>
        <w:t>Identifikasi seluruh record yang merujuk asset, lokasi, dan operating period yang sama.</w:t>
      </w:r>
    </w:p>
    <w:p>
      <w:pPr>
        <w:pStyle w:val="ListNumber"/>
        <w:spacing w:after="20"/>
      </w:pPr>
      <w:r>
        <w:t>Bandingkan start time, end time, duration, status, dan narrative description.</w:t>
      </w:r>
    </w:p>
    <w:p>
      <w:pPr>
        <w:pStyle w:val="ListNumber"/>
        <w:spacing w:after="20"/>
      </w:pPr>
      <w:r>
        <w:t>Bila nilai berbeda, pertahankan kedua nilai dan sebutkan source masing-masing.</w:t>
      </w:r>
    </w:p>
    <w:p>
      <w:pPr>
        <w:pStyle w:val="ListNumber"/>
        <w:spacing w:after="20"/>
      </w:pPr>
      <w:r>
        <w:t>Gunakan system/event log sebagai referensi timestamp bila tersedia, sambil mempertahankan konteks supervisor secara terpisah.</w:t>
      </w:r>
    </w:p>
    <w:p>
      <w:pPr>
        <w:pStyle w:val="ListNumber"/>
        <w:spacing w:after="20"/>
      </w:pPr>
      <w:r>
        <w:t>Gunakan maintenance record untuk technical condition, bukan untuk menginfer production impact kecuali memang dikuantifikasi.</w:t>
      </w:r>
    </w:p>
    <w:p>
      <w:pPr>
        <w:pStyle w:val="ListNumber"/>
        <w:spacing w:after="20"/>
      </w:pPr>
      <w:r>
        <w:t>Bila conflict tidak dapat diselesaikan, pertahankan status OPEN dan nyatakan evidence yang diperlukan.</w:t>
      </w:r>
    </w:p>
    <w:p>
      <w:pPr>
        <w:pStyle w:val="ListNumber"/>
        <w:spacing w:after="20"/>
      </w:pPr>
      <w:r>
        <w:t>Dokumentasikan resolving source sebelum status diubah menjadi RECONCILED atau CLOSED.</w:t>
      </w:r>
    </w:p>
    <w:p>
      <w:pPr>
        <w:pStyle w:val="Heading1"/>
      </w:pPr>
      <w:r>
        <w:t>6. Causality Guardrail</w:t>
      </w:r>
    </w:p>
    <w:p>
      <w:r>
        <w:t>Equipment event yang terjadi pada periode production shortfall belum cukup untuk membuktikan bahwa event tersebut menyebabkan shortfall. Causal statement memerlukan evidence yang menghubungkan event dengan measurable operational impact serta mempertimbangkan constraint material lainnya.</w:t>
      </w:r>
    </w:p>
    <w:p>
      <w:pPr>
        <w:pStyle w:val="Heading1"/>
      </w:pPr>
      <w:r>
        <w:t>7. Contoh Logic Rekonsiliasi</w:t>
      </w:r>
    </w:p>
    <w:tbl>
      <w:tblPr>
        <w:tblW w:type="auto" w:w="0"/>
        <w:jc w:val="left"/>
        <w:tblLook w:firstColumn="1" w:firstRow="1" w:lastColumn="0" w:lastRow="0" w:noHBand="0" w:noVBand="1" w:val="04A0"/>
      </w:tblPr>
      <w:tblGrid>
        <w:gridCol w:w="5314"/>
        <w:gridCol w:w="5314"/>
      </w:tblGrid>
      <w:tr>
        <w:trPr>
          <w:tblHeader w:val="true"/>
        </w:trPr>
        <w:tc>
          <w:tcPr>
            <w:tcW w:type="dxa" w:w="5314"/>
            <w:shd w:fill="2D1558"/>
            <w:tcBorders>
              <w:top w:val="single" w:sz="6" w:color="D1D5DB"/>
              <w:left w:val="single" w:sz="6" w:color="D1D5DB"/>
              <w:bottom w:val="single" w:sz="6" w:color="D1D5DB"/>
              <w:right w:val="single" w:sz="6" w:color="D1D5DB"/>
            </w:tcBorders>
          </w:tcPr>
          <w:p>
            <w:r>
              <w:rPr>
                <w:b/>
                <w:color w:val="FFFFFF"/>
              </w:rPr>
              <w:t>Observasi</w:t>
            </w:r>
          </w:p>
        </w:tc>
        <w:tc>
          <w:tcPr>
            <w:tcW w:type="dxa" w:w="5314"/>
            <w:shd w:fill="2D1558"/>
            <w:tcBorders>
              <w:top w:val="single" w:sz="6" w:color="D1D5DB"/>
              <w:left w:val="single" w:sz="6" w:color="D1D5DB"/>
              <w:bottom w:val="single" w:sz="6" w:color="D1D5DB"/>
              <w:right w:val="single" w:sz="6" w:color="D1D5DB"/>
            </w:tcBorders>
          </w:tcPr>
          <w:p>
            <w:r>
              <w:rPr>
                <w:b/>
                <w:color w:val="FFFFFF"/>
              </w:rPr>
              <w:t>Perlakuan yang diperlukan</w:t>
            </w:r>
          </w:p>
        </w:tc>
      </w:tr>
      <w:tr>
        <w:trPr>
          <w:cantSplit/>
        </w:trPr>
        <w:tc>
          <w:tcPr>
            <w:tcW w:type="dxa" w:w="5314"/>
            <w:tcBorders>
              <w:top w:val="single" w:sz="6" w:color="D1D5DB"/>
              <w:left w:val="single" w:sz="6" w:color="D1D5DB"/>
              <w:bottom w:val="single" w:sz="6" w:color="D1D5DB"/>
              <w:right w:val="single" w:sz="6" w:color="D1D5DB"/>
            </w:tcBorders>
          </w:tcPr>
          <w:p>
            <w:r>
              <w:t>Event log menunjukkan 35 menit; handover menyebut sekitar 50 menit.</w:t>
            </w:r>
          </w:p>
        </w:tc>
        <w:tc>
          <w:tcPr>
            <w:tcW w:type="dxa" w:w="5314"/>
            <w:tcBorders>
              <w:top w:val="single" w:sz="6" w:color="D1D5DB"/>
              <w:left w:val="single" w:sz="6" w:color="D1D5DB"/>
              <w:bottom w:val="single" w:sz="6" w:color="D1D5DB"/>
              <w:right w:val="single" w:sz="6" w:color="D1D5DB"/>
            </w:tcBorders>
          </w:tcPr>
          <w:p>
            <w:r>
              <w:t>Catat CONFLICT. Pertahankan kedua nilai. Verifikasi event record dan jelaskan discrepancy sebelum closure.</w:t>
            </w:r>
          </w:p>
        </w:tc>
      </w:tr>
      <w:tr>
        <w:trPr>
          <w:cantSplit/>
        </w:trPr>
        <w:tc>
          <w:tcPr>
            <w:tcW w:type="dxa" w:w="5314"/>
            <w:tcBorders>
              <w:top w:val="single" w:sz="6" w:color="D1D5DB"/>
              <w:left w:val="single" w:sz="6" w:color="D1D5DB"/>
              <w:bottom w:val="single" w:sz="6" w:color="D1D5DB"/>
              <w:right w:val="single" w:sz="6" w:color="D1D5DB"/>
            </w:tcBorders>
            <w:shd w:fill="F8FAFC"/>
          </w:tcPr>
          <w:p>
            <w:r>
              <w:t>Equipment standby terjadi pada jam dengan output terendah.</w:t>
            </w:r>
          </w:p>
        </w:tc>
        <w:tc>
          <w:tcPr>
            <w:tcW w:type="dxa" w:w="5314"/>
            <w:tcBorders>
              <w:top w:val="single" w:sz="6" w:color="D1D5DB"/>
              <w:left w:val="single" w:sz="6" w:color="D1D5DB"/>
              <w:bottom w:val="single" w:sz="6" w:color="D1D5DB"/>
              <w:right w:val="single" w:sz="6" w:color="D1D5DB"/>
            </w:tcBorders>
            <w:shd w:fill="F8FAFC"/>
          </w:tcPr>
          <w:p>
            <w:r>
              <w:t>Catat temporal association. Jangan menyebut root cause tanpa impact evidence.</w:t>
            </w:r>
          </w:p>
        </w:tc>
      </w:tr>
      <w:tr>
        <w:trPr>
          <w:cantSplit/>
        </w:trPr>
        <w:tc>
          <w:tcPr>
            <w:tcW w:type="dxa" w:w="5314"/>
            <w:tcBorders>
              <w:top w:val="single" w:sz="6" w:color="D1D5DB"/>
              <w:left w:val="single" w:sz="6" w:color="D1D5DB"/>
              <w:bottom w:val="single" w:sz="6" w:color="D1D5DB"/>
              <w:right w:val="single" w:sz="6" w:color="D1D5DB"/>
            </w:tcBorders>
          </w:tcPr>
          <w:p>
            <w:r>
              <w:t>Maintenance mengonfirmasi masalah teknis.</w:t>
            </w:r>
          </w:p>
        </w:tc>
        <w:tc>
          <w:tcPr>
            <w:tcW w:type="dxa" w:w="5314"/>
            <w:tcBorders>
              <w:top w:val="single" w:sz="6" w:color="D1D5DB"/>
              <w:left w:val="single" w:sz="6" w:color="D1D5DB"/>
              <w:bottom w:val="single" w:sz="6" w:color="D1D5DB"/>
              <w:right w:val="single" w:sz="6" w:color="D1D5DB"/>
            </w:tcBorders>
          </w:tcPr>
          <w:p>
            <w:r>
              <w:t>Catat technical finding sebagai SUPPORTED. Production impact tetap dinilai terpisah kecuali dikuantifikasi.</w:t>
            </w:r>
          </w:p>
        </w:tc>
      </w:tr>
      <w:tr>
        <w:trPr>
          <w:cantSplit/>
        </w:trPr>
        <w:tc>
          <w:tcPr>
            <w:tcW w:type="dxa" w:w="5314"/>
            <w:tcBorders>
              <w:top w:val="single" w:sz="6" w:color="D1D5DB"/>
              <w:left w:val="single" w:sz="6" w:color="D1D5DB"/>
              <w:bottom w:val="single" w:sz="6" w:color="D1D5DB"/>
              <w:right w:val="single" w:sz="6" w:color="D1D5DB"/>
            </w:tcBorders>
            <w:shd w:fill="F8FAFC"/>
          </w:tcPr>
          <w:p>
            <w:r>
              <w:t>Tidak ada record yang membuktikan penyebab production gap.</w:t>
            </w:r>
          </w:p>
        </w:tc>
        <w:tc>
          <w:tcPr>
            <w:tcW w:type="dxa" w:w="5314"/>
            <w:tcBorders>
              <w:top w:val="single" w:sz="6" w:color="D1D5DB"/>
              <w:left w:val="single" w:sz="6" w:color="D1D5DB"/>
              <w:bottom w:val="single" w:sz="6" w:color="D1D5DB"/>
              <w:right w:val="single" w:sz="6" w:color="D1D5DB"/>
            </w:tcBorders>
            <w:shd w:fill="F8FAFC"/>
          </w:tcPr>
          <w:p>
            <w:r>
              <w:t>Catat UNKNOWN dan jelaskan evidence tambahan yang diperlukan.</w:t>
            </w:r>
          </w:p>
        </w:tc>
      </w:tr>
    </w:tbl>
    <w:p>
      <w:pPr>
        <w:pStyle w:val="Heading1"/>
      </w:pPr>
      <w:r>
        <w:t>8. Persyaratan Close-out</w:t>
      </w:r>
    </w:p>
    <w:p>
      <w:pPr>
        <w:pStyle w:val="ListBullet"/>
        <w:spacing w:after="20"/>
      </w:pPr>
      <w:r>
        <w:t>Event timing dan duration yang sudah direkonsiliasi terdokumentasi.</w:t>
      </w:r>
    </w:p>
    <w:p>
      <w:pPr>
        <w:pStyle w:val="ListBullet"/>
        <w:spacing w:after="20"/>
      </w:pPr>
      <w:r>
        <w:t>Source yang menyelesaikan discrepancy teridentifikasi.</w:t>
      </w:r>
    </w:p>
    <w:p>
      <w:pPr>
        <w:pStyle w:val="ListBullet"/>
        <w:spacing w:after="20"/>
      </w:pPr>
      <w:r>
        <w:t>Technical finding dan production impact tidak dicampur.</w:t>
      </w:r>
    </w:p>
    <w:p>
      <w:pPr>
        <w:pStyle w:val="ListBullet"/>
        <w:spacing w:after="20"/>
      </w:pPr>
      <w:r>
        <w:t>Uncertainty yang tersisa dinyatakan eksplisit.</w:t>
      </w:r>
    </w:p>
    <w:p>
      <w:pPr>
        <w:pStyle w:val="ListBullet"/>
        <w:spacing w:after="20"/>
      </w:pPr>
      <w:r>
        <w:t>Isu material yang belum selesai dieskalasikan sesuai standar operational exception.</w:t>
      </w:r>
    </w:p>
    <w:sectPr w:rsidR="00FC693F" w:rsidRPr="0006063C" w:rsidSect="00034616">
      <w:footerReference w:type="default" r:id="rId9"/>
      <w:pgSz w:w="12240" w:h="15840"/>
      <w:pgMar w:top="576" w:right="806" w:bottom="576"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4"/>
      </w:rPr>
      <w:t>Salinan dokumen terkendali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D1558"/>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D1558"/>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