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 - ESKALASI OPERATIONAL EXCEPTION &amp; MANAGEMENT BRIEFING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Nomor Dokumen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OPS-STD-041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Revisi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02</w:t>
            </w:r>
          </w:p>
        </w:tc>
      </w:tr>
      <w:tr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Pemilik Proses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Operations Excellence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Tanggal Berlaku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01 Oktober 2026</w:t>
            </w:r>
          </w:p>
        </w:tc>
      </w:tr>
      <w:tr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Disetujui Oleh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General Manager Operations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EEEAF6"/>
          </w:tcPr>
          <w:p>
            <w:r>
              <w:rPr>
                <w:b/>
                <w:color w:val="2D1558"/>
              </w:rPr>
              <w:t>Siklus Review</w:t>
            </w:r>
          </w:p>
        </w:tc>
        <w:tc>
          <w:tcPr>
            <w:tcW w:type="dxa" w:w="2657"/>
            <w:vAlign w:val="center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12 bulan</w:t>
            </w:r>
          </w:p>
        </w:tc>
      </w:tr>
    </w:tbl>
    <w:p/>
    <w:p>
      <w:pPr>
        <w:pStyle w:val="Heading1"/>
      </w:pPr>
      <w:r>
        <w:t>1. Tujuan</w:t>
      </w:r>
    </w:p>
    <w:p>
      <w:r>
        <w:t>Menyediakan metode yang konsisten untuk mengklasifikasikan evidence operasional, menentukan kapan suatu exception memerlukan management attention, serta menyiapkan briefing yang ringkas dan decision-ready.</w:t>
      </w:r>
    </w:p>
    <w:p>
      <w:pPr>
        <w:pStyle w:val="Heading1"/>
      </w:pPr>
      <w:r>
        <w:t>2. Evidence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Definisi</w:t>
            </w:r>
          </w:p>
        </w:tc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Penggunaan oleh management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SUPPORTED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Didukung langsung oleh source yang disetujui atau validated calculation.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Dapat disampaikan sebagai fakta dengan source reference.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CONFLICT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Dua atau lebih source berbeda secara material.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Jangan diselesaikan diam-diam; lakukan reconciliation bila memengaruhi keputusan.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INFERENCE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Interpretasi masuk akal dari fakta yang supported, tetapi belum terbukti langsung.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Hanya disampaikan bila dilabel jelas sebagai interpretasi.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UNKNOWN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Evidence saat ini belum dapat menetapkan jawaban.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Nyatakan information gap dan verification yang diperlukan.</w:t>
            </w:r>
          </w:p>
        </w:tc>
      </w:tr>
    </w:tbl>
    <w:p>
      <w:pPr>
        <w:pStyle w:val="Heading1"/>
      </w:pPr>
      <w:r>
        <w:t>3. Tingkat Eskalasi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rPr>
          <w:tblHeader w:val="true"/>
        </w:trPr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Kondisi umum</w:t>
            </w:r>
          </w:p>
        </w:tc>
        <w:tc>
          <w:tcPr>
            <w:tcW w:type="dxa" w:w="3543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Respons yang diharapkan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Level 1 - Local Review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Routine variance atau isolated exception tanpa material unresolved decision impact.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Selesaikan di operating team dan catat follow-up.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Level 2 - Management Review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Material performance impact, repeated exception, atau unresolved data conflict yang memengaruhi interpretasi.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Siapkan management brief dan tetapkan verification action.</w:t>
            </w:r>
          </w:p>
        </w:tc>
      </w:tr>
      <w:tr>
        <w:trPr>
          <w:cantSplit/>
        </w:trPr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Level 3 - Executive Attention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Exception dengan significant cross-functional impact, material unresolved exposure, atau keputusan yang membutuhkan senior authorization.</w:t>
            </w:r>
          </w:p>
        </w:tc>
        <w:tc>
          <w:tcPr>
            <w:tcW w:type="dxa" w:w="3543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Eskalasi dengan evidence summary, unresolved risk, dan decision required.</w:t>
            </w:r>
          </w:p>
        </w:tc>
      </w:tr>
    </w:tbl>
    <w:p>
      <w:pPr>
        <w:pStyle w:val="Heading1"/>
      </w:pPr>
      <w:r>
        <w:t>4. Aturan Eskalasi</w:t>
      </w:r>
    </w:p>
    <w:p>
      <w:pPr>
        <w:pStyle w:val="ListBullet"/>
        <w:spacing w:after="20"/>
      </w:pPr>
      <w:r>
        <w:t>Eskalasi didasarkan pada operational significance dan decision impact, bukan seberapa meyakinkan narasi terdengar.</w:t>
      </w:r>
    </w:p>
    <w:p>
      <w:pPr>
        <w:pStyle w:val="ListBullet"/>
        <w:spacing w:after="20"/>
      </w:pPr>
      <w:r>
        <w:t>Material conflict harus tetap terlihat sampai direkonsiliasi.</w:t>
      </w:r>
    </w:p>
    <w:p>
      <w:pPr>
        <w:pStyle w:val="ListBullet"/>
        <w:spacing w:after="20"/>
      </w:pPr>
      <w:r>
        <w:t>Possible contributor tidak boleh dilabel sebagai confirmed root cause.</w:t>
      </w:r>
    </w:p>
    <w:p>
      <w:pPr>
        <w:pStyle w:val="ListBullet"/>
        <w:spacing w:after="20"/>
      </w:pPr>
      <w:r>
        <w:t>Management brief harus membedakan fact, interpretation, uncertainty, dan required verification.</w:t>
      </w:r>
    </w:p>
    <w:p>
      <w:pPr>
        <w:pStyle w:val="ListBullet"/>
        <w:spacing w:after="20"/>
      </w:pPr>
      <w:r>
        <w:t>Jika ownership belum ditetapkan, gunakan OWNER TO ASSIGN.</w:t>
      </w:r>
    </w:p>
    <w:p>
      <w:pPr>
        <w:pStyle w:val="Heading1"/>
      </w:pPr>
      <w:r>
        <w:t>5. Struktur Management Brief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314"/>
        <w:gridCol w:w="5314"/>
      </w:tblGrid>
      <w:tr>
        <w:trPr>
          <w:tblHeader w:val="true"/>
        </w:trPr>
        <w:tc>
          <w:tcPr>
            <w:tcW w:type="dxa" w:w="5314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Bagian</w:t>
            </w:r>
          </w:p>
        </w:tc>
        <w:tc>
          <w:tcPr>
            <w:tcW w:type="dxa" w:w="5314"/>
            <w:shd w:fill="2D155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rPr>
                <w:b/>
                <w:color w:val="FFFFFF"/>
              </w:rPr>
              <w:t>Isi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Executive Bottom Line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Apa yang terjadi, apa yang penting, dan apakah closure saat ini dapat dibenarkan.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Performance Status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Plan, actual, variance, dan critical operating window.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Key Exceptions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Event atau constraint material yang confirmed.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Evidence Matrix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Claim, status, source, dan verification required.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Data Conflicts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Nilai atau statement antar-source yang belum direkonsiliasi.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Possible Contributors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Faktor yang masih memerlukan evaluasi.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Unknowns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Pertanyaan yang belum dibuktikan evidence saat ini.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Decision Required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  <w:shd w:fill="F8FAFC"/>
          </w:tcPr>
          <w:p>
            <w:r>
              <w:t>Keputusan, verification, atau escalation yang diperlukan.</w:t>
            </w:r>
          </w:p>
        </w:tc>
      </w:tr>
      <w:tr>
        <w:trPr>
          <w:cantSplit/>
        </w:trPr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Follow-up</w:t>
            </w:r>
          </w:p>
        </w:tc>
        <w:tc>
          <w:tcPr>
            <w:tcW w:type="dxa" w:w="5314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</w:tcBorders>
          </w:tcPr>
          <w:p>
            <w:r>
              <w:t>Owner atau OWNER TO ASSIGN, next action, dan status.</w:t>
            </w:r>
          </w:p>
        </w:tc>
      </w:tr>
    </w:tbl>
    <w:p>
      <w:pPr>
        <w:pStyle w:val="Heading1"/>
      </w:pPr>
      <w:r>
        <w:t>6. Standar Visualisasi</w:t>
      </w:r>
    </w:p>
    <w:p>
      <w:pPr>
        <w:pStyle w:val="ListBullet"/>
        <w:spacing w:after="20"/>
      </w:pPr>
      <w:r>
        <w:t>Chart harus menggunakan quantitative data yang SUPPORTED dan mempertahankan unit serta reporting period aslinya.</w:t>
      </w:r>
    </w:p>
    <w:p>
      <w:pPr>
        <w:pStyle w:val="ListBullet"/>
        <w:spacing w:after="20"/>
      </w:pPr>
      <w:r>
        <w:t>Event timeline boleh menunjukkan supported event timing dan operating window.</w:t>
      </w:r>
    </w:p>
    <w:p>
      <w:pPr>
        <w:pStyle w:val="ListBullet"/>
        <w:spacing w:after="20"/>
      </w:pPr>
      <w:r>
        <w:t>Jangan memvisualisasikan unsupported causal relationship seolah-olah sudah terbukti.</w:t>
      </w:r>
    </w:p>
    <w:p>
      <w:pPr>
        <w:pStyle w:val="ListBullet"/>
        <w:spacing w:after="20"/>
      </w:pPr>
      <w:r>
        <w:t>Illustrative communication image harus dipisahkan dari operational evidence dan tidak boleh mengarang incident atau company-specific fact.</w:t>
      </w:r>
    </w:p>
    <w:p>
      <w:pPr>
        <w:pStyle w:val="Heading1"/>
      </w:pPr>
      <w:r>
        <w:t>7. Management Close-out</w:t>
      </w:r>
    </w:p>
    <w:p>
      <w:r>
        <w:t>Material exception dapat ditutup setelah verification yang diperlukan selesai, material source conflict telah direkonsiliasi atau diterima dengan rationale terdokumentasi, dan final conclusion tidak melampaui evidence.</w:t>
      </w:r>
    </w:p>
    <w:sectPr w:rsidR="00FC693F" w:rsidRPr="0006063C" w:rsidSect="00034616">
      <w:footerReference w:type="default" r:id="rId9"/>
      <w:pgSz w:w="12240" w:h="15840"/>
      <w:pgMar w:top="576" w:right="806" w:bottom="576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4"/>
      </w:rPr>
      <w:t>Salinan dokumen terkendali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D155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D1558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