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BD0" w:rsidRPr="002C6D55" w:rsidRDefault="002D715A" w:rsidP="002D715A">
      <w:pPr>
        <w:spacing w:after="100" w:afterAutospacing="1" w:line="240" w:lineRule="auto"/>
        <w:ind w:right="150"/>
        <w:jc w:val="center"/>
        <w:outlineLvl w:val="1"/>
        <w:rPr>
          <w:rFonts w:ascii="Arial" w:eastAsia="Times New Roman" w:hAnsi="Arial" w:cs="Arial"/>
          <w:b/>
          <w:color w:val="444444"/>
          <w:sz w:val="24"/>
          <w:szCs w:val="24"/>
        </w:rPr>
      </w:pPr>
      <w:r w:rsidRPr="002C6D55">
        <w:rPr>
          <w:rFonts w:ascii="Arial" w:eastAsia="Times New Roman" w:hAnsi="Arial" w:cs="Arial"/>
          <w:b/>
          <w:color w:val="444444"/>
          <w:sz w:val="24"/>
          <w:szCs w:val="24"/>
        </w:rPr>
        <w:t>W</w:t>
      </w:r>
      <w:r w:rsidR="002C6D55" w:rsidRPr="002C6D55">
        <w:rPr>
          <w:rFonts w:ascii="Arial" w:eastAsia="Times New Roman" w:hAnsi="Arial" w:cs="Arial"/>
          <w:b/>
          <w:color w:val="444444"/>
          <w:sz w:val="24"/>
          <w:szCs w:val="24"/>
        </w:rPr>
        <w:t>HAT IS THE DIFFERENCE BETWEEN</w:t>
      </w:r>
      <w:r w:rsidRPr="002C6D55">
        <w:rPr>
          <w:rFonts w:ascii="Arial" w:eastAsia="Times New Roman" w:hAnsi="Arial" w:cs="Arial"/>
          <w:b/>
          <w:color w:val="444444"/>
          <w:sz w:val="24"/>
          <w:szCs w:val="24"/>
        </w:rPr>
        <w:t xml:space="preserve"> NRE AND NRO BANK ACCOUNT?</w:t>
      </w:r>
    </w:p>
    <w:p w:rsidR="002F4BD0" w:rsidRPr="002F4BD0" w:rsidRDefault="002F4BD0" w:rsidP="002F4BD0">
      <w:pPr>
        <w:spacing w:before="100" w:beforeAutospacing="1" w:after="300" w:line="240" w:lineRule="auto"/>
        <w:rPr>
          <w:rFonts w:ascii="Arial" w:eastAsia="Times New Roman" w:hAnsi="Arial" w:cs="Arial"/>
          <w:color w:val="444444"/>
          <w:sz w:val="24"/>
          <w:szCs w:val="24"/>
        </w:rPr>
      </w:pPr>
      <w:r w:rsidRPr="002C6D55">
        <w:rPr>
          <w:rFonts w:ascii="Bookman Old Style" w:eastAsia="Times New Roman" w:hAnsi="Bookman Old Style" w:cs="Arial"/>
          <w:color w:val="444444"/>
          <w:sz w:val="24"/>
          <w:szCs w:val="24"/>
        </w:rPr>
        <w:t>A Non-Resident Indian (NRI) cannot open a regular savings bank account in their name in India, and can only either open a Non-Resident External Account (NRE) bank account or a Non-Resident Ordinary Account (NRO) bank account. Continuing to use the savings account in the home country can attract hefty penalties as per the Foreign Exchange Management Act (FEMA) guidelines under RBI. The differences between an NRE and NRO bank account are as follows</w:t>
      </w:r>
      <w:r w:rsidRPr="002F4BD0">
        <w:rPr>
          <w:rFonts w:ascii="Arial" w:eastAsia="Times New Roman" w:hAnsi="Arial" w:cs="Arial"/>
          <w:color w:val="444444"/>
          <w:sz w:val="24"/>
          <w:szCs w:val="24"/>
        </w:rPr>
        <w:t>:</w:t>
      </w:r>
    </w:p>
    <w:tbl>
      <w:tblPr>
        <w:tblpPr w:leftFromText="180" w:rightFromText="180" w:vertAnchor="text" w:horzAnchor="page" w:tblpX="1139" w:tblpY="517"/>
        <w:tblOverlap w:val="never"/>
        <w:tblW w:w="107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85"/>
        <w:gridCol w:w="5295"/>
      </w:tblGrid>
      <w:tr w:rsidR="0066039D" w:rsidTr="002C6D55">
        <w:trPr>
          <w:tblCellSpacing w:w="15" w:type="dxa"/>
        </w:trPr>
        <w:tc>
          <w:tcPr>
            <w:tcW w:w="5440" w:type="dxa"/>
            <w:shd w:val="clear" w:color="auto" w:fill="FAFAFB"/>
            <w:tcMar>
              <w:top w:w="180" w:type="dxa"/>
              <w:left w:w="225" w:type="dxa"/>
              <w:bottom w:w="180" w:type="dxa"/>
              <w:right w:w="225" w:type="dxa"/>
            </w:tcMar>
            <w:vAlign w:val="center"/>
          </w:tcPr>
          <w:p w:rsidR="0066039D" w:rsidRDefault="0066039D" w:rsidP="002C6D55">
            <w:pPr>
              <w:jc w:val="center"/>
              <w:rPr>
                <w:rFonts w:ascii="Calibri" w:hAnsi="Calibri" w:cs="Calibri"/>
              </w:rPr>
            </w:pPr>
            <w:r>
              <w:rPr>
                <w:rStyle w:val="Strong"/>
                <w:rFonts w:ascii="Calibri" w:eastAsia="SimSun" w:hAnsi="Calibri" w:cs="Calibri"/>
                <w:b w:val="0"/>
                <w:bCs w:val="0"/>
                <w:lang w:eastAsia="zh-CN" w:bidi="ar"/>
              </w:rPr>
              <w:t>PIS</w:t>
            </w:r>
          </w:p>
        </w:tc>
        <w:tc>
          <w:tcPr>
            <w:tcW w:w="5250" w:type="dxa"/>
            <w:shd w:val="clear" w:color="auto" w:fill="FAFAFB"/>
            <w:tcMar>
              <w:top w:w="180" w:type="dxa"/>
              <w:left w:w="225" w:type="dxa"/>
              <w:bottom w:w="180" w:type="dxa"/>
              <w:right w:w="225" w:type="dxa"/>
            </w:tcMar>
            <w:vAlign w:val="center"/>
          </w:tcPr>
          <w:p w:rsidR="0066039D" w:rsidRDefault="0066039D" w:rsidP="002C6D55">
            <w:pPr>
              <w:jc w:val="center"/>
              <w:rPr>
                <w:rFonts w:ascii="Calibri" w:hAnsi="Calibri" w:cs="Calibri"/>
              </w:rPr>
            </w:pPr>
            <w:r>
              <w:rPr>
                <w:rStyle w:val="Strong"/>
                <w:rFonts w:ascii="Calibri" w:eastAsia="SimSun" w:hAnsi="Calibri" w:cs="Calibri"/>
                <w:b w:val="0"/>
                <w:bCs w:val="0"/>
                <w:lang w:eastAsia="zh-CN" w:bidi="ar"/>
              </w:rPr>
              <w:t>Non-PIS (recommended)</w:t>
            </w:r>
          </w:p>
        </w:tc>
      </w:tr>
      <w:tr w:rsidR="0066039D" w:rsidTr="002C6D55">
        <w:trPr>
          <w:tblCellSpacing w:w="15" w:type="dxa"/>
        </w:trPr>
        <w:tc>
          <w:tcPr>
            <w:tcW w:w="5440" w:type="dxa"/>
            <w:shd w:val="clear" w:color="auto" w:fill="auto"/>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Investments can be made from both NRE and NRO bank accounts.</w:t>
            </w:r>
          </w:p>
        </w:tc>
        <w:tc>
          <w:tcPr>
            <w:tcW w:w="5250" w:type="dxa"/>
            <w:shd w:val="clear" w:color="auto" w:fill="auto"/>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Only NRO accounts are supported.</w:t>
            </w:r>
          </w:p>
        </w:tc>
      </w:tr>
      <w:tr w:rsidR="0066039D" w:rsidTr="002C6D55">
        <w:trPr>
          <w:tblCellSpacing w:w="15" w:type="dxa"/>
        </w:trPr>
        <w:tc>
          <w:tcPr>
            <w:tcW w:w="5440" w:type="dxa"/>
            <w:shd w:val="clear" w:color="auto" w:fill="FAFAFB"/>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The NRE or NRO account should be with a partner bank</w:t>
            </w:r>
            <w:proofErr w:type="gramStart"/>
            <w:r w:rsidRPr="002C6D55">
              <w:rPr>
                <w:rFonts w:ascii="Bookman Old Style" w:eastAsia="Times New Roman" w:hAnsi="Bookman Old Style" w:cs="Arial"/>
                <w:color w:val="444444"/>
                <w:sz w:val="24"/>
                <w:szCs w:val="24"/>
              </w:rPr>
              <w:t>:,</w:t>
            </w:r>
            <w:proofErr w:type="gramEnd"/>
            <w:r w:rsidRPr="002C6D55">
              <w:rPr>
                <w:rFonts w:ascii="Bookman Old Style" w:eastAsia="Times New Roman" w:hAnsi="Bookman Old Style" w:cs="Arial"/>
                <w:color w:val="444444"/>
                <w:sz w:val="24"/>
                <w:szCs w:val="24"/>
              </w:rPr>
              <w:t xml:space="preserve"> Axis.</w:t>
            </w:r>
          </w:p>
        </w:tc>
        <w:tc>
          <w:tcPr>
            <w:tcW w:w="5250" w:type="dxa"/>
            <w:shd w:val="clear" w:color="auto" w:fill="FAFAFB"/>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NRO account can be with any bank.</w:t>
            </w:r>
          </w:p>
        </w:tc>
      </w:tr>
      <w:tr w:rsidR="0066039D" w:rsidTr="002C6D55">
        <w:trPr>
          <w:tblCellSpacing w:w="15" w:type="dxa"/>
        </w:trPr>
        <w:tc>
          <w:tcPr>
            <w:tcW w:w="5440" w:type="dxa"/>
            <w:shd w:val="clear" w:color="auto" w:fill="auto"/>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A PIS permission letter from RBI has to be obtained via the partner bank.</w:t>
            </w:r>
          </w:p>
        </w:tc>
        <w:tc>
          <w:tcPr>
            <w:tcW w:w="5250" w:type="dxa"/>
            <w:shd w:val="clear" w:color="auto" w:fill="auto"/>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A PIS permission letter from RBI is not required.</w:t>
            </w:r>
          </w:p>
        </w:tc>
      </w:tr>
      <w:tr w:rsidR="0066039D" w:rsidTr="002C6D55">
        <w:trPr>
          <w:tblCellSpacing w:w="15" w:type="dxa"/>
        </w:trPr>
        <w:tc>
          <w:tcPr>
            <w:tcW w:w="5440" w:type="dxa"/>
            <w:shd w:val="clear" w:color="auto" w:fill="FAFAFB"/>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 xml:space="preserve">Funds from the bank account have to be transferred to the PIS first. </w:t>
            </w:r>
          </w:p>
        </w:tc>
        <w:tc>
          <w:tcPr>
            <w:tcW w:w="5250" w:type="dxa"/>
            <w:shd w:val="clear" w:color="auto" w:fill="FAFAFB"/>
            <w:tcMar>
              <w:top w:w="180" w:type="dxa"/>
              <w:left w:w="225" w:type="dxa"/>
              <w:bottom w:w="180" w:type="dxa"/>
              <w:right w:w="225" w:type="dxa"/>
            </w:tcMar>
            <w:vAlign w:val="center"/>
          </w:tcPr>
          <w:p w:rsidR="0066039D" w:rsidRPr="002C6D55" w:rsidRDefault="0066039D" w:rsidP="00E27778">
            <w:pPr>
              <w:rPr>
                <w:rFonts w:ascii="Bookman Old Style" w:eastAsia="Times New Roman" w:hAnsi="Bookman Old Style" w:cs="Arial"/>
                <w:color w:val="444444"/>
                <w:sz w:val="24"/>
                <w:szCs w:val="24"/>
              </w:rPr>
            </w:pPr>
            <w:r w:rsidRPr="002C6D55">
              <w:rPr>
                <w:rFonts w:ascii="Bookman Old Style" w:eastAsia="Times New Roman" w:hAnsi="Bookman Old Style" w:cs="Arial"/>
                <w:color w:val="444444"/>
                <w:sz w:val="24"/>
                <w:szCs w:val="24"/>
              </w:rPr>
              <w:t>Funds for investing are transferred from the NRO account instantly to the trading account using net banking.</w:t>
            </w:r>
          </w:p>
        </w:tc>
      </w:tr>
    </w:tbl>
    <w:p w:rsidR="00D823E2" w:rsidRDefault="00D823E2"/>
    <w:p w:rsidR="002C6D55" w:rsidRDefault="002C6D55" w:rsidP="0066039D">
      <w:pPr>
        <w:spacing w:after="0" w:line="240" w:lineRule="auto"/>
        <w:rPr>
          <w:rFonts w:ascii="Arial" w:eastAsia="Times New Roman" w:hAnsi="Arial" w:cs="Arial"/>
          <w:color w:val="444444"/>
          <w:sz w:val="24"/>
          <w:szCs w:val="24"/>
        </w:rPr>
      </w:pPr>
    </w:p>
    <w:p w:rsidR="0066039D" w:rsidRPr="002F4BD0" w:rsidRDefault="0066039D" w:rsidP="0066039D">
      <w:pPr>
        <w:spacing w:after="0" w:line="240" w:lineRule="auto"/>
        <w:rPr>
          <w:rFonts w:ascii="Arial" w:eastAsia="Times New Roman" w:hAnsi="Arial" w:cs="Arial"/>
          <w:color w:val="444444"/>
          <w:sz w:val="24"/>
          <w:szCs w:val="24"/>
        </w:rPr>
      </w:pPr>
      <w:bookmarkStart w:id="0" w:name="_GoBack"/>
      <w:bookmarkEnd w:id="0"/>
    </w:p>
    <w:p w:rsidR="0066039D" w:rsidRDefault="0066039D"/>
    <w:sectPr w:rsidR="0066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BD0"/>
    <w:rsid w:val="002C6D55"/>
    <w:rsid w:val="002D715A"/>
    <w:rsid w:val="002F4BD0"/>
    <w:rsid w:val="003D13BE"/>
    <w:rsid w:val="0066039D"/>
    <w:rsid w:val="00D8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4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B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4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B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4B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B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4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8916">
      <w:bodyDiv w:val="1"/>
      <w:marLeft w:val="0"/>
      <w:marRight w:val="0"/>
      <w:marTop w:val="0"/>
      <w:marBottom w:val="0"/>
      <w:divBdr>
        <w:top w:val="none" w:sz="0" w:space="0" w:color="auto"/>
        <w:left w:val="none" w:sz="0" w:space="0" w:color="auto"/>
        <w:bottom w:val="none" w:sz="0" w:space="0" w:color="auto"/>
        <w:right w:val="none" w:sz="0" w:space="0" w:color="auto"/>
      </w:divBdr>
      <w:divsChild>
        <w:div w:id="292753079">
          <w:marLeft w:val="0"/>
          <w:marRight w:val="0"/>
          <w:marTop w:val="0"/>
          <w:marBottom w:val="0"/>
          <w:divBdr>
            <w:top w:val="none" w:sz="0" w:space="0" w:color="auto"/>
            <w:left w:val="none" w:sz="0" w:space="0" w:color="auto"/>
            <w:bottom w:val="none" w:sz="0" w:space="0" w:color="auto"/>
            <w:right w:val="none" w:sz="0" w:space="0" w:color="auto"/>
          </w:divBdr>
        </w:div>
        <w:div w:id="1094979315">
          <w:marLeft w:val="0"/>
          <w:marRight w:val="0"/>
          <w:marTop w:val="0"/>
          <w:marBottom w:val="0"/>
          <w:divBdr>
            <w:top w:val="none" w:sz="0" w:space="0" w:color="auto"/>
            <w:left w:val="none" w:sz="0" w:space="0" w:color="auto"/>
            <w:bottom w:val="none" w:sz="0" w:space="0" w:color="auto"/>
            <w:right w:val="none" w:sz="0" w:space="0" w:color="auto"/>
          </w:divBdr>
          <w:divsChild>
            <w:div w:id="970326895">
              <w:marLeft w:val="0"/>
              <w:marRight w:val="0"/>
              <w:marTop w:val="0"/>
              <w:marBottom w:val="0"/>
              <w:divBdr>
                <w:top w:val="none" w:sz="0" w:space="0" w:color="auto"/>
                <w:left w:val="none" w:sz="0" w:space="0" w:color="auto"/>
                <w:bottom w:val="none" w:sz="0" w:space="0" w:color="auto"/>
                <w:right w:val="none" w:sz="0" w:space="0" w:color="auto"/>
              </w:divBdr>
              <w:divsChild>
                <w:div w:id="1233584279">
                  <w:marLeft w:val="0"/>
                  <w:marRight w:val="0"/>
                  <w:marTop w:val="0"/>
                  <w:marBottom w:val="0"/>
                  <w:divBdr>
                    <w:top w:val="none" w:sz="0" w:space="0" w:color="auto"/>
                    <w:left w:val="none" w:sz="0" w:space="0" w:color="auto"/>
                    <w:bottom w:val="none" w:sz="0" w:space="0" w:color="auto"/>
                    <w:right w:val="none" w:sz="0" w:space="0" w:color="auto"/>
                  </w:divBdr>
                  <w:divsChild>
                    <w:div w:id="1145321054">
                      <w:marLeft w:val="0"/>
                      <w:marRight w:val="0"/>
                      <w:marTop w:val="0"/>
                      <w:marBottom w:val="0"/>
                      <w:divBdr>
                        <w:top w:val="none" w:sz="0" w:space="0" w:color="auto"/>
                        <w:left w:val="single" w:sz="48" w:space="15" w:color="FF9100"/>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5D403-BF24-4960-9383-485D6D73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Vishwakarma</dc:creator>
  <cp:lastModifiedBy>Rupal Angane</cp:lastModifiedBy>
  <cp:revision>3</cp:revision>
  <dcterms:created xsi:type="dcterms:W3CDTF">2023-08-23T11:28:00Z</dcterms:created>
  <dcterms:modified xsi:type="dcterms:W3CDTF">2023-08-24T07:31:00Z</dcterms:modified>
</cp:coreProperties>
</file>