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imes New Roman" w:hAnsi="Times New Roman" w:cs="Times New Roman"/>
          <w:b/>
          <w:i w:val="0"/>
          <w:color w:val="000000"/>
          <w:sz w:val="36"/>
        </w:rPr>
        <w:t>CoinWise AI — Advanced Fintech Synthesis</w:t>
      </w:r>
    </w:p>
    <w:p>
      <w:pPr>
        <w:spacing w:after="40" w:line="276" w:lineRule="auto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AI-driven, alternative-data, VND-localized learn-to-trade platform for the Vietnamese market</w:t>
      </w:r>
    </w:p>
    <w:p>
      <w:pPr>
        <w:spacing w:after="60" w:line="264" w:lineRule="auto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Project Report (5-page submission) · </w:t>
      </w:r>
      <w:r>
        <w:rPr>
          <w:rFonts w:ascii="Times New Roman" w:hAnsi="Times New Roman" w:cs="Times New Roman"/>
          <w:b/>
          <w:i w:val="0"/>
          <w:color w:val="000000"/>
          <w:sz w:val="20"/>
        </w:rPr>
        <w:t>AI Integration &amp; API Refinement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 |  For: UII Incubator — Demo Day  |  Stage: deployed MVP (paper-trading)</w:t>
      </w:r>
    </w:p>
    <w:p>
      <w:pPr>
        <w:spacing w:after="120"/>
        <w:pBdr>
          <w:bottom w:val="single" w:sz="12" w:space="1" w:color="000000"/>
        </w:pBdr>
      </w:pPr>
    </w:p>
    <w:p>
      <w:pPr>
        <w:keepNext/>
        <w:spacing w:before="200" w:after="80" w:line="288" w:lineRule="auto"/>
        <w:pBdr>
          <w:bottom w:val="single" w:sz="6" w:space="2" w:color="000000"/>
        </w:pBdr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 Executive Summary &amp; Product Concept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CoinWise AI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is a learn-by-doing investing platform for Vietnam's retail crypto market — among the world's highest in adoption (consistently top-ranked by Chainalysis; ~17–20M holders) yet served only by English-/USD-first tools that offer generic charts and no localized decision support. Users are highly active but under-educated and over-exposed to FOMO and scams. We close that gap by combining four things in one product: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(1) Academy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structured courses on trading and on how to use AI in crypto;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(2) Risk-free paper trading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1,000,000 USDT of virtual capital to practise real strategies with zero downside;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(3) AI copilot + alternative-data engine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proprietary signals and an agentic chatbot that explain </w:t>
      </w:r>
      <w:r>
        <w:rPr>
          <w:rFonts w:ascii="Times New Roman" w:hAnsi="Times New Roman" w:cs="Times New Roman"/>
          <w:b w:val="0"/>
          <w:i/>
          <w:color w:val="000000"/>
          <w:sz w:val="26"/>
        </w:rPr>
        <w:t>why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to act;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(4) Arena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skill-based tournaments with a VND entry fee and VND prize pool, turning learning into a social loop.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The thesis: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people learn to trade by practising safely with feedback, then competing — building real skill before risking real money. Beneath this consumer wrapper sits the graded core of this assignment: a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proprietary alternative-data AI engine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, a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custom VND-localized OpenAPI server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that fixes the currency gaps global providers (Stripe/Plaid) leave open, and an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agentic Gemini assistant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all live in the deployed MVP today. Indicative sizing (to validate): TAM ~17–20M, SAM ~3–4M, SOM (3-yr) ~150k–300k users.</w:t>
      </w:r>
    </w:p>
    <w:p>
      <w:pPr>
        <w:keepNext/>
        <w:spacing w:before="200" w:after="80" w:line="288" w:lineRule="auto"/>
        <w:pBdr>
          <w:bottom w:val="single" w:sz="6" w:space="2" w:color="000000"/>
        </w:pBdr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 AI Methodology — Alternative Data (Part A · 30%)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Alternative data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is any non-traditional signal beyond price/transaction history — public social &amp; news text, community voting, market-psychology indices. The in-app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Alt-Data Lab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exposes the full chain transparently: </w:t>
      </w:r>
      <w:r>
        <w:rPr>
          <w:rFonts w:ascii="Times New Roman" w:hAnsi="Times New Roman" w:cs="Times New Roman"/>
          <w:b w:val="0"/>
          <w:i/>
          <w:color w:val="000000"/>
          <w:sz w:val="26"/>
        </w:rPr>
        <w:t>real data → AI analysis → a concrete fintech action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>. Sources are live, free, and need no paid keys: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64"/>
        <w:gridCol w:w="3264"/>
        <w:gridCol w:w="3264"/>
      </w:tblGrid>
      <w:tr>
        <w:tc>
          <w:tcPr>
            <w:tcW w:type="dxa" w:w="2448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Source</w:t>
            </w:r>
          </w:p>
        </w:tc>
        <w:tc>
          <w:tcPr>
            <w:tcW w:type="dxa" w:w="4752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What it provides</w:t>
            </w:r>
          </w:p>
        </w:tc>
        <w:tc>
          <w:tcPr>
            <w:tcW w:type="dxa" w:w="2160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Role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Hacker News (Algolia)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Story titles + upvote scores per coin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Primary text corpus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Reddit (r/CryptoCurrency…)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Post titles/bodies + upvotes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Supplementary text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alternative.me Fear &amp; Greed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Market psychology index 0–100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Fusion signal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CoinGecko community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Up/down vote %, dev/community score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Fusion signal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8"/>
        </w:rPr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The pipeline (GET /api/v1/ai/alt-data/pipeline/:symbol)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runs Collect → Analyse → Fuse → Apply. Four course techniques run on one weighted corpus: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VADER lexicon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(explainable per word), a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Multinomial Naive Bayes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we trained,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Z-score anomaly detection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(mention-volume spikes = early FOMO), and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multi-source fusion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into a single composite score, confidence and signal — auto-reweighting when a source is blocked (e.g. Reddit 403), with LIVE/HYBRID/DEMO provenance on every datapoint. Nothing is a black box.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The trained model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uses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distant supervision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: ~289 hand-labeled “gold” + ~500 auto-labeled “silver” documents, tested on gold only so accuracy can't be inflated — reaching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accuracy ≈ 73.6% / macro-F1 ≈ 73.9% (vocab 2,268)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. It is trained in a reproducible Python notebook, then its weights are exported to TypeScript so it </w:t>
      </w:r>
      <w:r>
        <w:rPr>
          <w:rFonts w:ascii="Times New Roman" w:hAnsi="Times New Roman" w:cs="Times New Roman"/>
          <w:b w:val="0"/>
          <w:i/>
          <w:color w:val="000000"/>
          <w:sz w:val="26"/>
        </w:rPr>
        <w:t>serves inside a serverless function with no Python at runtime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identical predictions, production latency.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Why this is our competitive advantage.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Signals feed two products —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Fraud Shield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(flags FOMO/momentum-chasing orders) and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AI Advisor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(±25% allocation tilt). The moat is a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data flywheel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>: Community Pulse scores every user comment with our own model, growing a Vietnam-specific labeled dataset that compounds with usage and cannot be bought off-the-shelf or replicated by a global incumbent — giving us three structural edges: explainability (defensible token-by-token), resilience (graceful degradation + provenance), and locality (a signal tuned to Vietnam).</w:t>
      </w:r>
    </w:p>
    <w:p>
      <w:pPr>
        <w:keepNext/>
        <w:spacing w:before="200" w:after="80" w:line="288" w:lineRule="auto"/>
        <w:pBdr>
          <w:bottom w:val="single" w:sz="6" w:space="2" w:color="000000"/>
        </w:pBdr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 Server Architecture — Custom OpenAPI Server (Part B · 30%)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Global sandboxes (Stripe, Plaid) don't process VND natively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, don't integrate with local banking rails, and can't serve our AI analytics in a structured contract. So we built our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own OpenAPI server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(Hono + TypeScript), documented with Swagger UI at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/docs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plus a machine-readable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openapi.yaml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>, deployed as a Vercel serverless function beside the React/Vite frontend — the single source of truth for paper-account state.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VND money layer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/fx/rates &amp; /fx/convert expose live USD↔VND (~26,300 VND/USD), so every balance, price and fee is correct in local currency.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CoinWise Bank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a custom local banking rail (/bank/...) processing deposits, withdrawals, subscription billing and Arena entry fees &amp; prize payouts </w:t>
      </w:r>
      <w:r>
        <w:rPr>
          <w:rFonts w:ascii="Times New Roman" w:hAnsi="Times New Roman" w:cs="Times New Roman"/>
          <w:b w:val="0"/>
          <w:i/>
          <w:color w:val="000000"/>
          <w:sz w:val="26"/>
        </w:rPr>
        <w:t>in VND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>: exactly the “replace the global sandbox with a localized backend” the rubric rewards.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96"/>
        <w:gridCol w:w="4896"/>
      </w:tblGrid>
      <w:tr>
        <w:tc>
          <w:tcPr>
            <w:tcW w:type="dxa" w:w="4320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Endpoint</w:t>
            </w:r>
          </w:p>
        </w:tc>
        <w:tc>
          <w:tcPr>
            <w:tcW w:type="dxa" w:w="5040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Purpose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GET  /ai/alt-data/pipeline/:symbol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Full alt-data → AI signal pipeline for a coin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POST /ai/alt-data/classify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Score any text with the trained model (live)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GET  /ai/alt-data/model/info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Model metadata + evaluation metrics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POST /ai/fraud-check-real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Alt-data-driven transaction risk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POST /agent/execute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Tool dispatcher consumed by the AI agent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GET  /fx/rates  ·  /bank/...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VND localization + local banking rail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8"/>
        </w:rPr>
      </w:r>
    </w:p>
    <w:p>
      <w:pPr>
        <w:keepNext/>
        <w:spacing w:before="200" w:after="80" w:line="288" w:lineRule="auto"/>
        <w:pBdr>
          <w:bottom w:val="single" w:sz="6" w:space="2" w:color="000000"/>
        </w:pBdr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 Agentic AI &amp; Localized UX (Part C · 20%)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Beyond chat to action.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The assistant is a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Gemini function-calling agent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that calls our OpenAPI tools (getPortfolio, getSentiment, getAIInsight, convertCurrency, placeTrade) to actually do things. It understands localized intent — type </w:t>
      </w:r>
      <w:r>
        <w:rPr>
          <w:rFonts w:ascii="Times New Roman" w:hAnsi="Times New Roman" w:cs="Times New Roman"/>
          <w:b w:val="0"/>
          <w:i/>
          <w:color w:val="000000"/>
          <w:sz w:val="26"/>
        </w:rPr>
        <w:t>“mua giúp tôi 5.000.000₫ BTC”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and it converts VND→USD, quotes the trade, asks for confirmation, then executes through the server, every tool call shown transparently. A global USD↔VND toggle re-renders all amounts, alongside live candlestick charts with exchange-grade indicators.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The learn-to-trade loop: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Academy → practise on the live market with 1,000,000 USDT virtual capital and AI feedback (Fraud Shield + AI Advisor explain each move) → Arena tournaments with VND entry/prize via CoinWise Bank. This learn-practise-compete loop drives retention today and produces the labeled engagement data that compounds the moat tomorrow.</w:t>
      </w:r>
    </w:p>
    <w:p>
      <w:pPr>
        <w:keepNext/>
        <w:spacing w:before="200" w:after="80" w:line="288" w:lineRule="auto"/>
        <w:pBdr>
          <w:bottom w:val="single" w:sz="6" w:space="2" w:color="000000"/>
        </w:pBdr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 Updated Roadmap &amp; Incubation Readiness (Part D · 20%)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Why the AI makes this incubation-viable for UII: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a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data moat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that compounds with usage,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real localized infrastructure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no global API offers in VND, and an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education-first paper-trading on-ramp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with a low regulatory surface that de-risks a future real-money launch. Revenue lines are already in the product: subscriptions (Pro $19/mo ~500k₫, Elite $99/mo), Arena rake (entry $5–$500), Earn yield (APY 2.5–18%), and future brokerage spread / B2B data API.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96"/>
        <w:gridCol w:w="4896"/>
      </w:tblGrid>
      <w:tr>
        <w:tc>
          <w:tcPr>
            <w:tcW w:type="dxa" w:w="2736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Phase</w:t>
            </w:r>
          </w:p>
        </w:tc>
        <w:tc>
          <w:tcPr>
            <w:tcW w:type="dxa" w:w="6624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Milestones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0 — Now (done)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Deployed AI MVP: alt-data engine, VND OpenAPI server, agentic AI, data-flywheel foundation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1 — Incubation (0–6 mo)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eKYC/compliance design; validate conversion &amp; ARPU; expand alt-data (on-chain, app-usage); harden infra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2 — Real-money beta (6–12 mo)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Local banking rail (VietQR/Napas); licensed/partnered brokerage; paid subscriptions live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3 — Scale (12–24 mo)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Grow to SOM; B2B data/signal API; new asset classes; SEA expansion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8"/>
        </w:rPr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Unit economics (to validate):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3–5% free→paid, blended paid ARPU ~$30/mo, target LTV/CAC &gt; 3x.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Key risks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regulatory uncertainty, free-source reliability, and ~74% model accuracy — are mitigated by the education-first launch (low regulatory surface), provenance + graceful degradation, and continuous retraining via the data flywheel.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The ask: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UII acceptance + pre-seed for eKYC/compliance, real banking integration, ML expansion and go-to-market. The project answers all four rubric bands — alt-data &amp; moat (30%), localized infrastructure (30%), agentic AI &amp; UX (20%), incubation readiness (20%) — with a working MVP behind every claim.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