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sz w:val="28"/>
        </w:rPr>
        <w:t>Dissociable Cognitive Mechanisms of Generative AI in Education: Evidence from CC-Eval, a Standards-Anchored Benchmark for Teaching Chinese to Speakers of Other Languages</w:t>
      </w:r>
    </w:p>
    <w:p>
      <w:pPr>
        <w:spacing w:line="480" w:lineRule="auto"/>
        <w:ind w:firstLine="720"/>
      </w:pPr>
      <w:r>
        <w:rPr>
          <w:rFonts w:ascii="Times New Roman" w:hAnsi="Times New Roman"/>
          <w:sz w:val="24"/>
        </w:rPr>
      </w:r>
      <w:r>
        <w:rPr>
          <w:rFonts w:ascii="Times New Roman" w:hAnsi="Times New Roman"/>
          <w:b/>
          <w:sz w:val="24"/>
        </w:rPr>
        <w:t>Dongxing Yu (于东兴)</w:t>
      </w:r>
      <w:r>
        <w:rPr>
          <w:rFonts w:ascii="Times New Roman" w:hAnsi="Times New Roman"/>
          <w:sz w:val="24"/>
        </w:rPr>
        <w:t xml:space="preserve">  </w:t>
      </w:r>
    </w:p>
    <w:p>
      <w:pPr>
        <w:spacing w:line="480" w:lineRule="auto"/>
        <w:ind w:firstLine="720"/>
      </w:pPr>
      <w:r>
        <w:rPr>
          <w:rFonts w:ascii="Times New Roman" w:hAnsi="Times New Roman"/>
          <w:sz w:val="24"/>
        </w:rPr>
        <w:t xml:space="preserve">Shanghai Sanda University  </w:t>
      </w:r>
    </w:p>
    <w:p>
      <w:pPr>
        <w:spacing w:line="480" w:lineRule="auto"/>
        <w:ind w:firstLine="720"/>
      </w:pPr>
      <w:r>
        <w:rPr>
          <w:rFonts w:ascii="Times New Roman" w:hAnsi="Times New Roman"/>
          <w:sz w:val="24"/>
        </w:rPr>
        <w:t>Email: yudongxing@sandau.edu.cn (corresponding author)</w:t>
      </w:r>
    </w:p>
    <w:p>
      <w:pPr>
        <w:spacing w:line="480" w:lineRule="auto"/>
        <w:ind w:firstLine="720"/>
      </w:pPr>
      <w:r>
        <w:rPr>
          <w:rFonts w:ascii="Times New Roman" w:hAnsi="Times New Roman"/>
          <w:sz w:val="24"/>
        </w:rPr>
      </w:r>
      <w:r>
        <w:rPr>
          <w:rFonts w:ascii="Times New Roman" w:hAnsi="Times New Roman"/>
          <w:b/>
          <w:sz w:val="24"/>
        </w:rPr>
        <w:t>Target venue:</w:t>
      </w:r>
      <w:r>
        <w:rPr>
          <w:rFonts w:ascii="Times New Roman" w:hAnsi="Times New Roman"/>
          <w:sz w:val="24"/>
        </w:rPr>
        <w:t xml:space="preserve"> *Frontiers in Psychology* — Research Topic *Cognitive Mechanisms of Generative AI in Education* (article type: Original Research).  </w:t>
      </w:r>
    </w:p>
    <w:p>
      <w:pPr>
        <w:spacing w:line="480" w:lineRule="auto"/>
        <w:ind w:firstLine="720"/>
      </w:pPr>
      <w:r>
        <w:rPr>
          <w:rFonts w:ascii="Times New Roman" w:hAnsi="Times New Roman"/>
          <w:sz w:val="24"/>
        </w:rPr>
      </w:r>
      <w:r>
        <w:rPr>
          <w:rFonts w:ascii="Times New Roman" w:hAnsi="Times New Roman"/>
          <w:b/>
          <w:sz w:val="24"/>
        </w:rPr>
        <w:t>Evidence base:</w:t>
      </w:r>
      <w:r>
        <w:rPr>
          <w:rFonts w:ascii="Times New Roman" w:hAnsi="Times New Roman"/>
          <w:sz w:val="24"/>
        </w:rPr>
        <w:t xml:space="preserve"> CC-Eval v1.0 public multimodel evaluation only (machine-readable aggregates and dual-judge reliability summaries in the supplementary repository). Interpretive claims are labeled *interpretation*.  </w:t>
      </w:r>
    </w:p>
    <w:p>
      <w:pPr>
        <w:spacing w:line="480" w:lineRule="auto"/>
        <w:ind w:firstLine="720"/>
      </w:pPr>
      <w:r>
        <w:rPr>
          <w:rFonts w:ascii="Times New Roman" w:hAnsi="Times New Roman"/>
          <w:sz w:val="24"/>
        </w:rPr>
      </w:r>
      <w:r>
        <w:rPr>
          <w:rFonts w:ascii="Times New Roman" w:hAnsi="Times New Roman"/>
          <w:b/>
          <w:sz w:val="24"/>
        </w:rPr>
        <w:t>Manuscript type:</w:t>
      </w:r>
      <w:r>
        <w:rPr>
          <w:rFonts w:ascii="Times New Roman" w:hAnsi="Times New Roman"/>
          <w:sz w:val="24"/>
        </w:rPr>
        <w:t xml:space="preserve"> Complete English full paper for delivery (no advice appendix).</w:t>
      </w:r>
    </w:p>
    <w:p>
      <w:r>
        <w:rPr>
          <w:rFonts w:ascii="Times New Roman" w:hAnsi="Times New Roman"/>
          <w:b/>
          <w:sz w:val="28"/>
        </w:rPr>
        <w:t>Abstract</w:t>
      </w:r>
    </w:p>
    <w:p>
      <w:pPr>
        <w:spacing w:line="480" w:lineRule="auto"/>
        <w:ind w:firstLine="720"/>
      </w:pPr>
      <w:r>
        <w:rPr>
          <w:rFonts w:ascii="Times New Roman" w:hAnsi="Times New Roman"/>
          <w:sz w:val="24"/>
        </w:rPr>
        <w:t xml:space="preserve">Generative artificial intelligence (GenAI) is rapidly entering educational workflows, yet educational psychology still lacks clear evidence on which *cognitive mechanisms*—rather than which brand names—drive success and failure when models assist teaching. We introduce </w:t>
      </w:r>
      <w:r>
        <w:rPr>
          <w:rFonts w:ascii="Times New Roman" w:hAnsi="Times New Roman"/>
          <w:b/>
          <w:sz w:val="24"/>
        </w:rPr>
        <w:t>CC-Eval v1.0</w:t>
      </w:r>
      <w:r>
        <w:rPr>
          <w:rFonts w:ascii="Times New Roman" w:hAnsi="Times New Roman"/>
          <w:sz w:val="24"/>
        </w:rPr>
        <w:t xml:space="preserve">, a standards-anchored benchmark of </w:t>
      </w:r>
      <w:r>
        <w:rPr>
          <w:rFonts w:ascii="Times New Roman" w:hAnsi="Times New Roman"/>
          <w:b/>
          <w:sz w:val="24"/>
        </w:rPr>
        <w:t>1,555</w:t>
      </w:r>
      <w:r>
        <w:rPr>
          <w:rFonts w:ascii="Times New Roman" w:hAnsi="Times New Roman"/>
          <w:sz w:val="24"/>
        </w:rPr>
        <w:t xml:space="preserve"> items spanning six equal-weight educational workflow tasks in Teaching Chinese to Speakers of Other Languages (TCSoL): grade knowledge (KNO), error diagnosis (ERR), essay scoring (SCO), teaching generation (GEN), culture/pragmatics (CUL), and standards/pedagogy (PED). Eleven free/light-tier large language models (LLMs) were evaluated under default API settings. Equal-weight totals ranged from </w:t>
      </w:r>
      <w:r>
        <w:rPr>
          <w:rFonts w:ascii="Times New Roman" w:hAnsi="Times New Roman"/>
          <w:b/>
          <w:sz w:val="24"/>
        </w:rPr>
        <w:t>33.4 to 46.7</w:t>
      </w:r>
      <w:r>
        <w:rPr>
          <w:rFonts w:ascii="Times New Roman" w:hAnsi="Times New Roman"/>
          <w:sz w:val="24"/>
        </w:rPr>
        <w:t xml:space="preserve"> and were sharply dissociated by task: culture/pragmatics was high (</w:t>
      </w:r>
      <w:r>
        <w:rPr>
          <w:rFonts w:ascii="Times New Roman" w:hAnsi="Times New Roman"/>
          <w:b/>
          <w:sz w:val="24"/>
        </w:rPr>
        <w:t>70.5–94.9</w:t>
      </w:r>
      <w:r>
        <w:rPr>
          <w:rFonts w:ascii="Times New Roman" w:hAnsi="Times New Roman"/>
          <w:sz w:val="24"/>
        </w:rPr>
        <w:t xml:space="preserve">); selected models reached comparatively usable scoring bands; error diagnosis and grade knowledge remained weak; level-controlled rewrite passes were </w:t>
      </w:r>
      <w:r>
        <w:rPr>
          <w:rFonts w:ascii="Times New Roman" w:hAnsi="Times New Roman"/>
          <w:b/>
          <w:sz w:val="24"/>
        </w:rPr>
        <w:t>≤15.0%</w:t>
      </w:r>
      <w:r>
        <w:rPr>
          <w:rFonts w:ascii="Times New Roman" w:hAnsi="Times New Roman"/>
          <w:sz w:val="24"/>
        </w:rPr>
        <w:t xml:space="preserve">; textbook-standard clause locating peaked at </w:t>
      </w:r>
      <w:r>
        <w:rPr>
          <w:rFonts w:ascii="Times New Roman" w:hAnsi="Times New Roman"/>
          <w:b/>
          <w:sz w:val="24"/>
        </w:rPr>
        <w:t>8.9%</w:t>
      </w:r>
      <w:r>
        <w:rPr>
          <w:rFonts w:ascii="Times New Roman" w:hAnsi="Times New Roman"/>
          <w:sz w:val="24"/>
        </w:rPr>
        <w:t>. A full second-judge pass (</w:t>
      </w:r>
      <w:r>
        <w:rPr>
          <w:rFonts w:ascii="Times New Roman" w:hAnsi="Times New Roman"/>
          <w:b/>
          <w:sz w:val="24"/>
        </w:rPr>
        <w:t>n = 2,177</w:t>
      </w:r>
      <w:r>
        <w:rPr>
          <w:rFonts w:ascii="Times New Roman" w:hAnsi="Times New Roman"/>
          <w:sz w:val="24"/>
        </w:rPr>
        <w:t xml:space="preserve">) yielded moderate overall agreement (Pearson *r* = </w:t>
      </w:r>
      <w:r>
        <w:rPr>
          <w:rFonts w:ascii="Times New Roman" w:hAnsi="Times New Roman"/>
          <w:b/>
          <w:sz w:val="24"/>
        </w:rPr>
        <w:t>0.656</w:t>
      </w:r>
      <w:r>
        <w:rPr>
          <w:rFonts w:ascii="Times New Roman" w:hAnsi="Times New Roman"/>
          <w:sz w:val="24"/>
        </w:rPr>
        <w:t xml:space="preserve">; agreement within ±0.15 = </w:t>
      </w:r>
      <w:r>
        <w:rPr>
          <w:rFonts w:ascii="Times New Roman" w:hAnsi="Times New Roman"/>
          <w:b/>
          <w:sz w:val="24"/>
        </w:rPr>
        <w:t>0.794</w:t>
      </w:r>
      <w:r>
        <w:rPr>
          <w:rFonts w:ascii="Times New Roman" w:hAnsi="Times New Roman"/>
          <w:sz w:val="24"/>
        </w:rPr>
        <w:t xml:space="preserve">), with higher linear association on pedagogy (*r* = </w:t>
      </w:r>
      <w:r>
        <w:rPr>
          <w:rFonts w:ascii="Times New Roman" w:hAnsi="Times New Roman"/>
          <w:b/>
          <w:sz w:val="24"/>
        </w:rPr>
        <w:t>0.663</w:t>
      </w:r>
      <w:r>
        <w:rPr>
          <w:rFonts w:ascii="Times New Roman" w:hAnsi="Times New Roman"/>
          <w:sz w:val="24"/>
        </w:rPr>
        <w:t xml:space="preserve">) than on open-ended culture pragmatics (*r* = </w:t>
      </w:r>
      <w:r>
        <w:rPr>
          <w:rFonts w:ascii="Times New Roman" w:hAnsi="Times New Roman"/>
          <w:b/>
          <w:sz w:val="24"/>
        </w:rPr>
        <w:t>0.522</w:t>
      </w:r>
      <w:r>
        <w:rPr>
          <w:rFonts w:ascii="Times New Roman" w:hAnsi="Times New Roman"/>
          <w:sz w:val="24"/>
        </w:rPr>
        <w:t xml:space="preserve">). We interpret this fingerprint as evidence for </w:t>
      </w:r>
      <w:r>
        <w:rPr>
          <w:rFonts w:ascii="Times New Roman" w:hAnsi="Times New Roman"/>
          <w:b/>
          <w:sz w:val="24"/>
        </w:rPr>
        <w:t>dissociable GenAI educational mechanisms</w:t>
      </w:r>
      <w:r>
        <w:rPr>
          <w:rFonts w:ascii="Times New Roman" w:hAnsi="Times New Roman"/>
          <w:sz w:val="24"/>
        </w:rPr>
        <w:t>—parametric standards memory, constraint satisfaction under graded input, evaluative score meaning, and pragmatic/cultural mediation—rather than as a unitary “AI teaching intelligence.” The contribution is a psychology-facing mechanism map grounded in reproducible educational measurement, with implications for how GenAI should be theorized, trusted, and scaffolded in education.</w:t>
      </w:r>
    </w:p>
    <w:p>
      <w:pPr>
        <w:spacing w:line="480" w:lineRule="auto"/>
        <w:ind w:firstLine="720"/>
      </w:pPr>
      <w:r>
        <w:rPr>
          <w:rFonts w:ascii="Times New Roman" w:hAnsi="Times New Roman"/>
          <w:sz w:val="24"/>
        </w:rPr>
      </w:r>
      <w:r>
        <w:rPr>
          <w:rFonts w:ascii="Times New Roman" w:hAnsi="Times New Roman"/>
          <w:b/>
          <w:sz w:val="24"/>
        </w:rPr>
        <w:t>Keywords:</w:t>
      </w:r>
      <w:r>
        <w:rPr>
          <w:rFonts w:ascii="Times New Roman" w:hAnsi="Times New Roman"/>
          <w:sz w:val="24"/>
        </w:rPr>
        <w:t xml:space="preserve"> generative artificial intelligence; cognitive mechanisms; educational psychology; large language models; Teaching Chinese to Speakers of Other Languages; standards-based assessment; automated writing evaluation; constraint satisfaction; educational measurement</w:t>
      </w:r>
    </w:p>
    <w:p>
      <w:r>
        <w:rPr>
          <w:rFonts w:ascii="Times New Roman" w:hAnsi="Times New Roman"/>
          <w:b/>
          <w:sz w:val="28"/>
        </w:rPr>
        <w:t>1. Introduction</w:t>
      </w:r>
    </w:p>
    <w:p>
      <w:r>
        <w:rPr>
          <w:rFonts w:ascii="Times New Roman" w:hAnsi="Times New Roman"/>
          <w:b/>
          <w:sz w:val="24"/>
        </w:rPr>
        <w:t>1.1 GenAI in education as a cognitive-mechanism problem</w:t>
      </w:r>
    </w:p>
    <w:p>
      <w:pPr>
        <w:spacing w:line="480" w:lineRule="auto"/>
        <w:ind w:firstLine="720"/>
      </w:pPr>
      <w:r>
        <w:rPr>
          <w:rFonts w:ascii="Times New Roman" w:hAnsi="Times New Roman"/>
          <w:sz w:val="24"/>
        </w:rPr>
        <w:t>Generative artificial intelligence (GenAI), especially large language models (LLMs), is no longer merely a computational novelty in schools and universities; it is becoming an everyday cognitive prosthesis for planning lessons, drafting materials, scoring writing, diagnosing errors, and mediating cultural explanations (Wang et al., 2024; Chang et al., 2024; Kasneci et al., 2023). Educational psychology has long studied how technologies reorganize cognitive work—what is offloaded, what remains with the human, and what new monitoring demands appear (Sweller, 2011; Kirschner et al., 2006; Clark &amp; Mayer, 2016). GenAI intensifies that agenda because its fluent surface outputs can mask deep failures of educationally critical cognition: recalling institutional standards, respecting grade constraints, preserving score meaning, and mediating culturally sensitive pragmatics.</w:t>
      </w:r>
    </w:p>
    <w:p>
      <w:pPr>
        <w:spacing w:line="480" w:lineRule="auto"/>
        <w:ind w:firstLine="720"/>
      </w:pPr>
      <w:r>
        <w:rPr>
          <w:rFonts w:ascii="Times New Roman" w:hAnsi="Times New Roman"/>
          <w:sz w:val="24"/>
        </w:rPr>
        <w:t xml:space="preserve">The Research Topic *Cognitive Mechanisms of Generative AI in Education* asks not only whether GenAI “works,” but *how* it works—through which component processes, under which task demands, and with which failure signatures. A unitary “AI is good/bad at teaching” framing is cognitively underspecified. Educational tasks recruit different mixtures of memory, constraint satisfaction, evaluative judgment, and socio-pragmatic reasoning. If GenAI performance dissociates across those demands, theory should treat GenAI educational competence as a </w:t>
      </w:r>
      <w:r>
        <w:rPr>
          <w:rFonts w:ascii="Times New Roman" w:hAnsi="Times New Roman"/>
          <w:b/>
          <w:sz w:val="24"/>
        </w:rPr>
        <w:t>profile of mechanisms</w:t>
      </w:r>
      <w:r>
        <w:rPr>
          <w:rFonts w:ascii="Times New Roman" w:hAnsi="Times New Roman"/>
          <w:sz w:val="24"/>
        </w:rPr>
        <w:t>, not a single latent ability.</w:t>
      </w:r>
    </w:p>
    <w:p>
      <w:r>
        <w:rPr>
          <w:rFonts w:ascii="Times New Roman" w:hAnsi="Times New Roman"/>
          <w:b/>
          <w:sz w:val="24"/>
        </w:rPr>
        <w:t>1.2 Why TCSoL workflows are a revealing testbed</w:t>
      </w:r>
    </w:p>
    <w:p>
      <w:pPr>
        <w:spacing w:line="480" w:lineRule="auto"/>
        <w:ind w:firstLine="720"/>
      </w:pPr>
      <w:r>
        <w:rPr>
          <w:rFonts w:ascii="Times New Roman" w:hAnsi="Times New Roman"/>
          <w:sz w:val="24"/>
        </w:rPr>
        <w:t xml:space="preserve">Teaching Chinese to Speakers of Other Languages (TCSoL)—also called international Chinese language education—offers a particularly revealing testbed for mechanism dissociation. Everyday teacher workflows already invite LLM use for essay banding, error diagnosis, level-controlled rewrite, culture/pragmatics Q&amp;A, and scenario lesson drafts. Critically, TCSoL practice is increasingly </w:t>
      </w:r>
      <w:r>
        <w:rPr>
          <w:rFonts w:ascii="Times New Roman" w:hAnsi="Times New Roman"/>
          <w:b/>
          <w:sz w:val="24"/>
        </w:rPr>
        <w:t>standards-anchored</w:t>
      </w:r>
      <w:r>
        <w:rPr>
          <w:rFonts w:ascii="Times New Roman" w:hAnsi="Times New Roman"/>
          <w:sz w:val="24"/>
        </w:rPr>
        <w:t xml:space="preserve"> via China’s national Chinese Proficiency Grading Standards (GF 0025-2021), culture-teaching frameworks, and textbook/vocational standards. Fluent but unconstrained generation is not pedagogically neutral: it can violate grade vocabulary, invent standards clauses, or drift from human score meaning.</w:t>
      </w:r>
    </w:p>
    <w:p>
      <w:pPr>
        <w:spacing w:line="480" w:lineRule="auto"/>
        <w:ind w:firstLine="720"/>
      </w:pPr>
      <w:r>
        <w:rPr>
          <w:rFonts w:ascii="Times New Roman" w:hAnsi="Times New Roman"/>
          <w:sz w:val="24"/>
        </w:rPr>
        <w:t>In cognitive terms, these workflows probe distinct mechanisms:</w:t>
      </w:r>
    </w:p>
    <w:p>
      <w:pPr>
        <w:spacing w:line="480" w:lineRule="auto"/>
        <w:ind w:firstLine="720"/>
      </w:pPr>
      <w:r>
        <w:rPr>
          <w:rFonts w:ascii="Times New Roman" w:hAnsi="Times New Roman"/>
          <w:sz w:val="24"/>
        </w:rPr>
        <w:t xml:space="preserve">1. </w:t>
      </w:r>
      <w:r>
        <w:rPr>
          <w:rFonts w:ascii="Times New Roman" w:hAnsi="Times New Roman"/>
          <w:b/>
          <w:sz w:val="24"/>
        </w:rPr>
        <w:t>Parametric standards memory</w:t>
      </w:r>
      <w:r>
        <w:rPr>
          <w:rFonts w:ascii="Times New Roman" w:hAnsi="Times New Roman"/>
          <w:sz w:val="24"/>
        </w:rPr>
        <w:t xml:space="preserve"> — Can the model retrieve grade membership and standards-clause structure from parameters alone?</w:t>
      </w:r>
    </w:p>
    <w:p>
      <w:pPr>
        <w:spacing w:line="480" w:lineRule="auto"/>
        <w:ind w:firstLine="720"/>
      </w:pPr>
      <w:r>
        <w:rPr>
          <w:rFonts w:ascii="Times New Roman" w:hAnsi="Times New Roman"/>
          <w:sz w:val="24"/>
        </w:rPr>
        <w:t xml:space="preserve">2. </w:t>
      </w:r>
      <w:r>
        <w:rPr>
          <w:rFonts w:ascii="Times New Roman" w:hAnsi="Times New Roman"/>
          <w:b/>
          <w:sz w:val="24"/>
        </w:rPr>
        <w:t>Constraint satisfaction under graded input</w:t>
      </w:r>
      <w:r>
        <w:rPr>
          <w:rFonts w:ascii="Times New Roman" w:hAnsi="Times New Roman"/>
          <w:sz w:val="24"/>
        </w:rPr>
        <w:t xml:space="preserve"> — Can generation remain inside an externally specified lexicon/level boundary (a validity criterion for materials; Sung et al., 2015; Xia et al., 2016)?</w:t>
      </w:r>
    </w:p>
    <w:p>
      <w:pPr>
        <w:spacing w:line="480" w:lineRule="auto"/>
        <w:ind w:firstLine="720"/>
      </w:pPr>
      <w:r>
        <w:rPr>
          <w:rFonts w:ascii="Times New Roman" w:hAnsi="Times New Roman"/>
          <w:sz w:val="24"/>
        </w:rPr>
        <w:t xml:space="preserve">3. </w:t>
      </w:r>
      <w:r>
        <w:rPr>
          <w:rFonts w:ascii="Times New Roman" w:hAnsi="Times New Roman"/>
          <w:b/>
          <w:sz w:val="24"/>
        </w:rPr>
        <w:t>Evaluative score meaning</w:t>
      </w:r>
      <w:r>
        <w:rPr>
          <w:rFonts w:ascii="Times New Roman" w:hAnsi="Times New Roman"/>
          <w:sz w:val="24"/>
        </w:rPr>
        <w:t xml:space="preserve"> — Can the model approximate human score order and avoid systematic bias (argument-based validation for automated writing evaluation; Ranalli et al., 2017; Pack et al., 2024)?</w:t>
      </w:r>
    </w:p>
    <w:p>
      <w:pPr>
        <w:spacing w:line="480" w:lineRule="auto"/>
        <w:ind w:firstLine="720"/>
      </w:pPr>
      <w:r>
        <w:rPr>
          <w:rFonts w:ascii="Times New Roman" w:hAnsi="Times New Roman"/>
          <w:sz w:val="24"/>
        </w:rPr>
        <w:t xml:space="preserve">4. </w:t>
      </w:r>
      <w:r>
        <w:rPr>
          <w:rFonts w:ascii="Times New Roman" w:hAnsi="Times New Roman"/>
          <w:b/>
          <w:sz w:val="24"/>
        </w:rPr>
        <w:t>Pragmatic/cultural mediation</w:t>
      </w:r>
      <w:r>
        <w:rPr>
          <w:rFonts w:ascii="Times New Roman" w:hAnsi="Times New Roman"/>
          <w:sz w:val="24"/>
        </w:rPr>
        <w:t xml:space="preserve"> — Can the model produce culturally and pragmatically usable responses under human oversight, without being treated as an autonomous cultural authority?</w:t>
      </w:r>
    </w:p>
    <w:p>
      <w:pPr>
        <w:spacing w:line="480" w:lineRule="auto"/>
        <w:ind w:firstLine="720"/>
      </w:pPr>
      <w:r>
        <w:rPr>
          <w:rFonts w:ascii="Times New Roman" w:hAnsi="Times New Roman"/>
          <w:sz w:val="24"/>
        </w:rPr>
        <w:t>A benchmark that measures these jointly can reveal whether GenAI’s educational “intelligence” is integrated or fragmented.</w:t>
      </w:r>
    </w:p>
    <w:p>
      <w:r>
        <w:rPr>
          <w:rFonts w:ascii="Times New Roman" w:hAnsi="Times New Roman"/>
          <w:b/>
          <w:sz w:val="24"/>
        </w:rPr>
        <w:t>1.3 The construct-misalignment problem in existing education LLM benches</w:t>
      </w:r>
    </w:p>
    <w:p>
      <w:pPr>
        <w:spacing w:line="480" w:lineRule="auto"/>
        <w:ind w:firstLine="720"/>
      </w:pPr>
      <w:r>
        <w:rPr>
          <w:rFonts w:ascii="Times New Roman" w:hAnsi="Times New Roman"/>
          <w:sz w:val="24"/>
        </w:rPr>
        <w:t>Existing Chinese-language LLM benchmarks primarily assess general reasoning or native-speaker curricular knowledge. C-Eval (Huang et al., 2023) evaluates multidisciplinary foundation knowledge; E-EVAL (Hou et al., 2024) benchmarks Chinese K–12 subjects; GAOKAO-Bench (Zhang et al., 2023) probes high-stakes native college entrance exams. Valuable as they are for general capability, these suites under-specify L2 teacher-facing workflows: high exam accuracy does not ensure compliance with GF 0025 grade boundaries, robust learner-error diagnosis, or human-aligned L2 essay evaluation.</w:t>
      </w:r>
    </w:p>
    <w:p>
      <w:pPr>
        <w:spacing w:line="480" w:lineRule="auto"/>
        <w:ind w:firstLine="720"/>
      </w:pPr>
      <w:r>
        <w:rPr>
          <w:rFonts w:ascii="Times New Roman" w:hAnsi="Times New Roman"/>
          <w:sz w:val="24"/>
        </w:rPr>
        <w:t xml:space="preserve">*Interpretation.* The knowledge gap is not “no Chinese education evaluation exists,” but </w:t>
      </w:r>
      <w:r>
        <w:rPr>
          <w:rFonts w:ascii="Times New Roman" w:hAnsi="Times New Roman"/>
          <w:b/>
          <w:sz w:val="24"/>
        </w:rPr>
        <w:t>absence of a public, multi-task, contamination-aware, standards-anchored readiness map that can be read as a cognitive-mechanism fingerprint for TCSoL teacher workflows</w:t>
      </w:r>
      <w:r>
        <w:rPr>
          <w:rFonts w:ascii="Times New Roman" w:hAnsi="Times New Roman"/>
          <w:sz w:val="24"/>
        </w:rPr>
        <w:t>. Without such a map, practitioners and theorists alike risk over-generalizing from brand lore or from unrelated ranks—psychologically costly when generation must stay inside grade vocabulary or when scoring must track human bands.</w:t>
      </w:r>
    </w:p>
    <w:p>
      <w:r>
        <w:rPr>
          <w:rFonts w:ascii="Times New Roman" w:hAnsi="Times New Roman"/>
          <w:b/>
          <w:sz w:val="24"/>
        </w:rPr>
        <w:t>1.3A Educational stakes of mechanism error</w:t>
      </w:r>
    </w:p>
    <w:p>
      <w:pPr>
        <w:spacing w:line="480" w:lineRule="auto"/>
        <w:ind w:firstLine="720"/>
      </w:pPr>
      <w:r>
        <w:rPr>
          <w:rFonts w:ascii="Times New Roman" w:hAnsi="Times New Roman"/>
          <w:sz w:val="24"/>
        </w:rPr>
        <w:t>Mechanism errors are not abstract. If a model fails constraint satisfaction, learners may receive texts that look “easy” while containing out-of-grade vocabulary that raises unnecessary intrinsic load (Sweller, 2011). If a model fails evaluative calibration, formative scores may systematically depress or inflate self-efficacy. If a model fails standards memory, curriculum sequencing advice may mis-order structures. If a model’s pragmatic fluency is mistaken for cultural authority, classrooms may propagate simplified or stereotyped narratives. The point of a mechanism map is to connect such stakes to measurable failure modes before deployment narratives harden.</w:t>
      </w:r>
    </w:p>
    <w:p>
      <w:pPr>
        <w:spacing w:line="480" w:lineRule="auto"/>
        <w:ind w:firstLine="720"/>
      </w:pPr>
      <w:r>
        <w:rPr>
          <w:rFonts w:ascii="Times New Roman" w:hAnsi="Times New Roman"/>
          <w:sz w:val="24"/>
        </w:rPr>
        <w:t>TCSoL is globally large and increasingly digitized; free/light LLMs are precisely the tier many instructors can access without institutional contracts. That ecological fact makes free/light fingerprints scientifically important rather than merely “budget baselines.” If the accessible tier systematically lacks constraint and standards-operational mechanisms, then education systems must either provision tools that externalize those mechanisms or restrict unsupervised use—decisions that should be evidence-based.</w:t>
      </w:r>
    </w:p>
    <w:p>
      <w:r>
        <w:rPr>
          <w:rFonts w:ascii="Times New Roman" w:hAnsi="Times New Roman"/>
          <w:b/>
          <w:sz w:val="24"/>
        </w:rPr>
        <w:t>1.3B Positioning within Frontiers in Psychology</w:t>
      </w:r>
    </w:p>
    <w:p>
      <w:pPr>
        <w:spacing w:line="480" w:lineRule="auto"/>
        <w:ind w:firstLine="720"/>
      </w:pPr>
      <w:r>
        <w:rPr>
          <w:rFonts w:ascii="Times New Roman" w:hAnsi="Times New Roman"/>
          <w:sz w:val="24"/>
        </w:rPr>
        <w:t>*Frontiers in Psychology* audiences span cognitive, educational, and human–technology disciplines. Accordingly, this paper foregrounds constructs—memory, constraint satisfaction, evaluative judgment, pragmatic mediation, monitoring load—over vendor horse-race rhetoric. TCSoL supplies the empirical setting; the intended contribution is generalizable mechanism language for GenAI-in-education research, with a reproducible benchmark as the measurement instrument.</w:t>
      </w:r>
    </w:p>
    <w:p>
      <w:r>
        <w:rPr>
          <w:rFonts w:ascii="Times New Roman" w:hAnsi="Times New Roman"/>
          <w:b/>
          <w:sz w:val="24"/>
        </w:rPr>
        <w:t>1.4 Purpose and research questions</w:t>
      </w:r>
    </w:p>
    <w:p>
      <w:pPr>
        <w:spacing w:line="480" w:lineRule="auto"/>
        <w:ind w:firstLine="720"/>
      </w:pPr>
      <w:r>
        <w:rPr>
          <w:rFonts w:ascii="Times New Roman" w:hAnsi="Times New Roman"/>
          <w:sz w:val="24"/>
        </w:rPr>
        <w:t xml:space="preserve">This paper reports the design of </w:t>
      </w:r>
      <w:r>
        <w:rPr>
          <w:rFonts w:ascii="Times New Roman" w:hAnsi="Times New Roman"/>
          <w:b/>
          <w:sz w:val="24"/>
        </w:rPr>
        <w:t>CC-Eval v1.0</w:t>
      </w:r>
      <w:r>
        <w:rPr>
          <w:rFonts w:ascii="Times New Roman" w:hAnsi="Times New Roman"/>
          <w:sz w:val="24"/>
        </w:rPr>
        <w:t xml:space="preserve"> and a first multi-model run on 11 free/light-tier APIs. The purpose is to produce a </w:t>
      </w:r>
      <w:r>
        <w:rPr>
          <w:rFonts w:ascii="Times New Roman" w:hAnsi="Times New Roman"/>
          <w:b/>
          <w:sz w:val="24"/>
        </w:rPr>
        <w:t>task-stratified mechanism map</w:t>
      </w:r>
      <w:r>
        <w:rPr>
          <w:rFonts w:ascii="Times New Roman" w:hAnsi="Times New Roman"/>
          <w:sz w:val="24"/>
        </w:rPr>
        <w:t xml:space="preserve"> under equal-weight aggregation—not a claim of overall model superiority. We address four research questions:</w:t>
      </w:r>
    </w:p>
    <w:p>
      <w:pPr>
        <w:spacing w:line="480" w:lineRule="auto"/>
        <w:ind w:firstLine="720"/>
      </w:pPr>
      <w:r>
        <w:rPr>
          <w:rFonts w:ascii="Times New Roman" w:hAnsi="Times New Roman"/>
          <w:sz w:val="24"/>
        </w:rPr>
        <w:t xml:space="preserve">1. </w:t>
      </w:r>
      <w:r>
        <w:rPr>
          <w:rFonts w:ascii="Times New Roman" w:hAnsi="Times New Roman"/>
          <w:b/>
          <w:sz w:val="24"/>
        </w:rPr>
        <w:t>RQ1 (Overall profile).</w:t>
      </w:r>
      <w:r>
        <w:rPr>
          <w:rFonts w:ascii="Times New Roman" w:hAnsi="Times New Roman"/>
          <w:sz w:val="24"/>
        </w:rPr>
        <w:t xml:space="preserve"> Under equal-weight aggregation of six TCSoL tasks (dependent variable: equal-weight total, 0–100), what performance range do accessible free/light-tier LLMs achieve, and how large is the between-model span?</w:t>
      </w:r>
    </w:p>
    <w:p>
      <w:pPr>
        <w:spacing w:line="480" w:lineRule="auto"/>
        <w:ind w:firstLine="720"/>
      </w:pPr>
      <w:r>
        <w:rPr>
          <w:rFonts w:ascii="Times New Roman" w:hAnsi="Times New Roman"/>
          <w:sz w:val="24"/>
        </w:rPr>
        <w:t xml:space="preserve">2. </w:t>
      </w:r>
      <w:r>
        <w:rPr>
          <w:rFonts w:ascii="Times New Roman" w:hAnsi="Times New Roman"/>
          <w:b/>
          <w:sz w:val="24"/>
        </w:rPr>
        <w:t>RQ2 (Mechanism dissociation).</w:t>
      </w:r>
      <w:r>
        <w:rPr>
          <w:rFonts w:ascii="Times New Roman" w:hAnsi="Times New Roman"/>
          <w:sz w:val="24"/>
        </w:rPr>
        <w:t xml:space="preserve"> Across task families (KNO, ERR, SCO, GEN, CUL, PED) and critical subtasks (level-controlled rewrite; textbook-standard clause locating; vocational scenario design), which educational cognitive demands show high bands, mid bands, and near-floor collapse?</w:t>
      </w:r>
    </w:p>
    <w:p>
      <w:pPr>
        <w:spacing w:line="480" w:lineRule="auto"/>
        <w:ind w:firstLine="720"/>
      </w:pPr>
      <w:r>
        <w:rPr>
          <w:rFonts w:ascii="Times New Roman" w:hAnsi="Times New Roman"/>
          <w:sz w:val="24"/>
        </w:rPr>
        <w:t xml:space="preserve">3. </w:t>
      </w:r>
      <w:r>
        <w:rPr>
          <w:rFonts w:ascii="Times New Roman" w:hAnsi="Times New Roman"/>
          <w:b/>
          <w:sz w:val="24"/>
        </w:rPr>
        <w:t>RQ3 (Process diagnostics).</w:t>
      </w:r>
      <w:r>
        <w:rPr>
          <w:rFonts w:ascii="Times New Roman" w:hAnsi="Times New Roman"/>
          <w:sz w:val="24"/>
        </w:rPr>
        <w:t xml:space="preserve"> For SCO and GEN, what do human–model Pearson *r*, Spearman ρ, quadratic weighted kappa (QWK), predicted-mean bias, out-of-vocabulary (OOV) rates relative to grade constraints, and rewrite pass rates reveal beyond task-mean percentages?</w:t>
      </w:r>
    </w:p>
    <w:p>
      <w:pPr>
        <w:spacing w:line="480" w:lineRule="auto"/>
        <w:ind w:firstLine="720"/>
      </w:pPr>
      <w:r>
        <w:rPr>
          <w:rFonts w:ascii="Times New Roman" w:hAnsi="Times New Roman"/>
          <w:sz w:val="24"/>
        </w:rPr>
        <w:t xml:space="preserve">4. </w:t>
      </w:r>
      <w:r>
        <w:rPr>
          <w:rFonts w:ascii="Times New Roman" w:hAnsi="Times New Roman"/>
          <w:b/>
          <w:sz w:val="24"/>
        </w:rPr>
        <w:t>RQ4 (Measurement trust).</w:t>
      </w:r>
      <w:r>
        <w:rPr>
          <w:rFonts w:ascii="Times New Roman" w:hAnsi="Times New Roman"/>
          <w:sz w:val="24"/>
        </w:rPr>
        <w:t xml:space="preserve"> Given automatic versus LLM-rubric scoring, bootstrap confidence intervals, full dual-judge reliability, and contamination stratification, how should mechanism interpretations be bounded?</w:t>
      </w:r>
    </w:p>
    <w:p>
      <w:r>
        <w:rPr>
          <w:rFonts w:ascii="Times New Roman" w:hAnsi="Times New Roman"/>
          <w:b/>
          <w:sz w:val="24"/>
        </w:rPr>
        <w:t>1.5 Contributions</w:t>
      </w:r>
    </w:p>
    <w:p>
      <w:pPr>
        <w:spacing w:line="480" w:lineRule="auto"/>
        <w:ind w:firstLine="720"/>
      </w:pPr>
      <w:r>
        <w:rPr>
          <w:rFonts w:ascii="Times New Roman" w:hAnsi="Times New Roman"/>
          <w:sz w:val="24"/>
        </w:rPr>
        <w:t xml:space="preserve">1. </w:t>
      </w:r>
      <w:r>
        <w:rPr>
          <w:rFonts w:ascii="Times New Roman" w:hAnsi="Times New Roman"/>
          <w:b/>
          <w:sz w:val="24"/>
        </w:rPr>
        <w:t>Benchmark for educational cognitive mechanisms.</w:t>
      </w:r>
      <w:r>
        <w:rPr>
          <w:rFonts w:ascii="Times New Roman" w:hAnsi="Times New Roman"/>
          <w:sz w:val="24"/>
        </w:rPr>
        <w:t xml:space="preserve"> CC-Eval v1.0: </w:t>
      </w:r>
      <w:r>
        <w:rPr>
          <w:rFonts w:ascii="Times New Roman" w:hAnsi="Times New Roman"/>
          <w:b/>
          <w:sz w:val="24"/>
        </w:rPr>
        <w:t>1,555</w:t>
      </w:r>
      <w:r>
        <w:rPr>
          <w:rFonts w:ascii="Times New Roman" w:hAnsi="Times New Roman"/>
          <w:sz w:val="24"/>
        </w:rPr>
        <w:t xml:space="preserve"> items, six equal-weight tasks, public release of </w:t>
      </w:r>
      <w:r>
        <w:rPr>
          <w:rFonts w:ascii="Times New Roman" w:hAnsi="Times New Roman"/>
          <w:b/>
          <w:sz w:val="24"/>
        </w:rPr>
        <w:t>928</w:t>
      </w:r>
      <w:r>
        <w:rPr>
          <w:rFonts w:ascii="Times New Roman" w:hAnsi="Times New Roman"/>
          <w:sz w:val="24"/>
        </w:rPr>
        <w:t xml:space="preserve"> items, and anonymized supplementary materials (https://github.com/yudongxing999/cc-eval).</w:t>
      </w:r>
    </w:p>
    <w:p>
      <w:pPr>
        <w:spacing w:line="480" w:lineRule="auto"/>
        <w:ind w:firstLine="720"/>
      </w:pPr>
      <w:r>
        <w:rPr>
          <w:rFonts w:ascii="Times New Roman" w:hAnsi="Times New Roman"/>
          <w:sz w:val="24"/>
        </w:rPr>
        <w:t xml:space="preserve">2. </w:t>
      </w:r>
      <w:r>
        <w:rPr>
          <w:rFonts w:ascii="Times New Roman" w:hAnsi="Times New Roman"/>
          <w:b/>
          <w:sz w:val="24"/>
        </w:rPr>
        <w:t>Empirical dissociation map.</w:t>
      </w:r>
      <w:r>
        <w:rPr>
          <w:rFonts w:ascii="Times New Roman" w:hAnsi="Times New Roman"/>
          <w:sz w:val="24"/>
        </w:rPr>
        <w:t xml:space="preserve"> An 11-model task-stratified profile with decision-relevant metrics (SCO *r*/QWK/bias; GEN OOV/rewrite; bootstrap CIs; full dual-judge *n* = 2,177) that links observed failures to candidate generative mechanisms.</w:t>
      </w:r>
    </w:p>
    <w:p>
      <w:pPr>
        <w:spacing w:line="480" w:lineRule="auto"/>
        <w:ind w:firstLine="720"/>
      </w:pPr>
      <w:r>
        <w:rPr>
          <w:rFonts w:ascii="Times New Roman" w:hAnsi="Times New Roman"/>
          <w:sz w:val="24"/>
        </w:rPr>
        <w:t xml:space="preserve">3. </w:t>
      </w:r>
      <w:r>
        <w:rPr>
          <w:rFonts w:ascii="Times New Roman" w:hAnsi="Times New Roman"/>
          <w:b/>
          <w:sz w:val="24"/>
        </w:rPr>
        <w:t>Psychology-facing interpretation.</w:t>
      </w:r>
      <w:r>
        <w:rPr>
          <w:rFonts w:ascii="Times New Roman" w:hAnsi="Times New Roman"/>
          <w:sz w:val="24"/>
        </w:rPr>
        <w:t xml:space="preserve"> A Frontiers-compatible account of GenAI in education as dissociable mechanisms—parametric memory, constraint satisfaction, evaluative judgment, and pragmatic mediation—without treating brand totals as unitary intelligence.</w:t>
      </w:r>
    </w:p>
    <w:p>
      <w:r>
        <w:rPr>
          <w:rFonts w:ascii="Times New Roman" w:hAnsi="Times New Roman"/>
          <w:b/>
          <w:sz w:val="28"/>
        </w:rPr>
        <w:t>2. Theoretical Background: Cognitive Mechanisms of GenAI in Education</w:t>
      </w:r>
    </w:p>
    <w:p>
      <w:r>
        <w:rPr>
          <w:rFonts w:ascii="Times New Roman" w:hAnsi="Times New Roman"/>
          <w:b/>
          <w:sz w:val="24"/>
        </w:rPr>
        <w:t>2.1 From tool adoption narratives to mechanism theory</w:t>
      </w:r>
    </w:p>
    <w:p>
      <w:pPr>
        <w:spacing w:line="480" w:lineRule="auto"/>
        <w:ind w:firstLine="720"/>
      </w:pPr>
      <w:r>
        <w:rPr>
          <w:rFonts w:ascii="Times New Roman" w:hAnsi="Times New Roman"/>
          <w:sz w:val="24"/>
        </w:rPr>
        <w:t xml:space="preserve">Much public discourse about GenAI in education oscillates between enthusiasm and prohibition. Educational psychology needs a third path: </w:t>
      </w:r>
      <w:r>
        <w:rPr>
          <w:rFonts w:ascii="Times New Roman" w:hAnsi="Times New Roman"/>
          <w:b/>
          <w:sz w:val="24"/>
        </w:rPr>
        <w:t>mechanism-level theory</w:t>
      </w:r>
      <w:r>
        <w:rPr>
          <w:rFonts w:ascii="Times New Roman" w:hAnsi="Times New Roman"/>
          <w:sz w:val="24"/>
        </w:rPr>
        <w:t xml:space="preserve"> that predicts where GenAI will help, where it will mislead, and what scaffolds convert failure into usable assistance (Molenaar, 2022; Holstein et al., 2020). Classic frameworks already supply pieces. Cognitive load theory distinguishes intrinsic, extraneous, and germane load and warns that tools can either reduce extraneous load or create new monitoring burdens (Sweller, 2011; Sweller et al., 2019). Distributed cognition treats intelligence as spread across people and artifacts (Hutchins, 1995). Self-regulated learning emphasizes monitoring and control loops that GenAI can either support or short-circuit (Zimmerman, 2002; Winne &amp; Hadwin, 1998).</w:t>
      </w:r>
    </w:p>
    <w:p>
      <w:pPr>
        <w:spacing w:line="480" w:lineRule="auto"/>
        <w:ind w:firstLine="720"/>
      </w:pPr>
      <w:r>
        <w:rPr>
          <w:rFonts w:ascii="Times New Roman" w:hAnsi="Times New Roman"/>
          <w:sz w:val="24"/>
        </w:rPr>
        <w:t>*Interpretation for GenAI.* Fluency is not the same as educational validity. A model that reduces drafting effort while increasing verification load may not reduce total cognitive work; it may redistribute it toward evaluation and error detection—skills that themselves require support.</w:t>
      </w:r>
    </w:p>
    <w:p>
      <w:r>
        <w:rPr>
          <w:rFonts w:ascii="Times New Roman" w:hAnsi="Times New Roman"/>
          <w:b/>
          <w:sz w:val="24"/>
        </w:rPr>
        <w:t>2.2 Dual-process intuitions and the fluency trap</w:t>
      </w:r>
    </w:p>
    <w:p>
      <w:pPr>
        <w:spacing w:line="480" w:lineRule="auto"/>
        <w:ind w:firstLine="720"/>
      </w:pPr>
      <w:r>
        <w:rPr>
          <w:rFonts w:ascii="Times New Roman" w:hAnsi="Times New Roman"/>
          <w:sz w:val="24"/>
        </w:rPr>
        <w:t>Dual-process accounts in psychology distinguish fast, associative, fluency-driven responses from slower, deliberative, constraint-checking processes (Kahneman, 2011; Evans &amp; Stanovich, 2013). LLM decoding is not literally human System 1/System 2, but the analogy is analytically useful: next-token generation optimizes local coherence and prior-matching, which often *feels* like expertise while failing deliberative educational checks (grade boundaries, clause identity, score meaning).</w:t>
      </w:r>
    </w:p>
    <w:p>
      <w:pPr>
        <w:spacing w:line="480" w:lineRule="auto"/>
        <w:ind w:firstLine="720"/>
      </w:pPr>
      <w:r>
        <w:rPr>
          <w:rFonts w:ascii="Times New Roman" w:hAnsi="Times New Roman"/>
          <w:sz w:val="24"/>
        </w:rPr>
        <w:t>Educational settings are full of fluency traps. A lesson draft can sound pedagogical while violating sequencing standards. A rewrite can sound “simple” while introducing out-of-grade words. A culture answer can sound authoritative while pragmatically inappropriate. CC-Eval is designed so that several traps are measurable rather than anecdotal.</w:t>
      </w:r>
    </w:p>
    <w:p>
      <w:r>
        <w:rPr>
          <w:rFonts w:ascii="Times New Roman" w:hAnsi="Times New Roman"/>
          <w:b/>
          <w:sz w:val="24"/>
        </w:rPr>
        <w:t>2.3 Argument-based validation and evaluative judgment</w:t>
      </w:r>
    </w:p>
    <w:p>
      <w:pPr>
        <w:spacing w:line="480" w:lineRule="auto"/>
        <w:ind w:firstLine="720"/>
      </w:pPr>
      <w:r>
        <w:rPr>
          <w:rFonts w:ascii="Times New Roman" w:hAnsi="Times New Roman"/>
          <w:sz w:val="24"/>
        </w:rPr>
        <w:t>Automated writing evaluation (AWE) research insists that agreement with human scores is necessary but not sufficient; score meaning, bias, and use consequences must be examined (Kane, 2013; Ranalli et al., 2017; Pack et al., 2024; Wilson &amp; Huang, 2024). This is a cognitive and social claim as much as a psychometric one: a score is a judgment that will shape feedback, placement, and learner self-beliefs.</w:t>
      </w:r>
    </w:p>
    <w:p>
      <w:pPr>
        <w:spacing w:line="480" w:lineRule="auto"/>
        <w:ind w:firstLine="720"/>
      </w:pPr>
      <w:r>
        <w:rPr>
          <w:rFonts w:ascii="Times New Roman" w:hAnsi="Times New Roman"/>
          <w:sz w:val="24"/>
        </w:rPr>
        <w:t xml:space="preserve">CC-Eval maps this strand onto </w:t>
      </w:r>
      <w:r>
        <w:rPr>
          <w:rFonts w:ascii="Times New Roman" w:hAnsi="Times New Roman"/>
          <w:b/>
          <w:sz w:val="24"/>
        </w:rPr>
        <w:t>SCO</w:t>
      </w:r>
      <w:r>
        <w:rPr>
          <w:rFonts w:ascii="Times New Roman" w:hAnsi="Times New Roman"/>
          <w:sz w:val="24"/>
        </w:rPr>
        <w:t xml:space="preserve"> via band-proximity plus Pearson/Spearman, QWK, and predicted-versus-gold means. By analogy, </w:t>
      </w:r>
      <w:r>
        <w:rPr>
          <w:rFonts w:ascii="Times New Roman" w:hAnsi="Times New Roman"/>
          <w:b/>
          <w:sz w:val="24"/>
        </w:rPr>
        <w:t>ERR</w:t>
      </w:r>
      <w:r>
        <w:rPr>
          <w:rFonts w:ascii="Times New Roman" w:hAnsi="Times New Roman"/>
          <w:sz w:val="24"/>
        </w:rPr>
        <w:t xml:space="preserve"> attribution without trust differs ethically from assistive draft feedback under teacher verification. For </w:t>
      </w:r>
      <w:r>
        <w:rPr>
          <w:rFonts w:ascii="Times New Roman" w:hAnsi="Times New Roman"/>
          <w:b/>
          <w:sz w:val="24"/>
        </w:rPr>
        <w:t>PED</w:t>
      </w:r>
      <w:r>
        <w:rPr>
          <w:rFonts w:ascii="Times New Roman" w:hAnsi="Times New Roman"/>
          <w:sz w:val="24"/>
        </w:rPr>
        <w:t xml:space="preserve"> rubric slices, dual-judge reliability belongs in the measurement argument: high absolute agreement in a compressed band can coexist with imperfect linear association and must be disclosed.</w:t>
      </w:r>
    </w:p>
    <w:p>
      <w:r>
        <w:rPr>
          <w:rFonts w:ascii="Times New Roman" w:hAnsi="Times New Roman"/>
          <w:b/>
          <w:sz w:val="24"/>
        </w:rPr>
        <w:t>2.4 Graded input, i+1, and constraint satisfaction</w:t>
      </w:r>
    </w:p>
    <w:p>
      <w:pPr>
        <w:spacing w:line="480" w:lineRule="auto"/>
        <w:ind w:firstLine="720"/>
      </w:pPr>
      <w:r>
        <w:rPr>
          <w:rFonts w:ascii="Times New Roman" w:hAnsi="Times New Roman"/>
          <w:sz w:val="24"/>
        </w:rPr>
        <w:t xml:space="preserve">Second-language pedagogy treats input slightly beyond the learner’s current level (i+1) as a design target (Krashen, 1985; although the construct remains debated), and Chinese L2 readability research insists that grade-appropriate input must be *verified*, not assumed (Sung et al., 2015; Xia et al., 2016; Wu et al., 2020). For materials generation, </w:t>
      </w:r>
      <w:r>
        <w:rPr>
          <w:rFonts w:ascii="Times New Roman" w:hAnsi="Times New Roman"/>
          <w:b/>
          <w:sz w:val="24"/>
        </w:rPr>
        <w:t>constraint satisfaction</w:t>
      </w:r>
      <w:r>
        <w:rPr>
          <w:rFonts w:ascii="Times New Roman" w:hAnsi="Times New Roman"/>
          <w:sz w:val="24"/>
        </w:rPr>
        <w:t>—staying inside a grade lexicon—is itself a validity criterion. Fluent LLM text can silently violate GF 0025 boundaries.</w:t>
      </w:r>
    </w:p>
    <w:p>
      <w:pPr>
        <w:spacing w:line="480" w:lineRule="auto"/>
        <w:ind w:firstLine="720"/>
      </w:pPr>
      <w:r>
        <w:rPr>
          <w:rFonts w:ascii="Times New Roman" w:hAnsi="Times New Roman"/>
          <w:sz w:val="24"/>
        </w:rPr>
        <w:t xml:space="preserve">Cognitively, constraint satisfaction is distinct from open-ended generation. Open generation maximizes plausibility; constrained generation requires continuous filtering against an external table. Transformer LLMs can approximate constraints when they are frequent in training text, but hard, table-like constraints are exactly where parametric memory is brittle. CC-Eval operationalizes this through </w:t>
      </w:r>
      <w:r>
        <w:rPr>
          <w:rFonts w:ascii="Times New Roman" w:hAnsi="Times New Roman"/>
          <w:b/>
          <w:sz w:val="24"/>
        </w:rPr>
        <w:t>GEN</w:t>
      </w:r>
      <w:r>
        <w:rPr>
          <w:rFonts w:ascii="Times New Roman" w:hAnsi="Times New Roman"/>
          <w:sz w:val="24"/>
        </w:rPr>
        <w:t xml:space="preserve"> (level-controlled rewrite; constrained paragraphs) and </w:t>
      </w:r>
      <w:r>
        <w:rPr>
          <w:rFonts w:ascii="Times New Roman" w:hAnsi="Times New Roman"/>
          <w:b/>
          <w:sz w:val="24"/>
        </w:rPr>
        <w:t>KNO</w:t>
      </w:r>
      <w:r>
        <w:rPr>
          <w:rFonts w:ascii="Times New Roman" w:hAnsi="Times New Roman"/>
          <w:sz w:val="24"/>
        </w:rPr>
        <w:t xml:space="preserve"> (grade knowledge). Rewrite pass rates and OOV percentages make constraint violation visible; weak KNO shows that parametric “memory” of grade tables is no substitute for lookup.</w:t>
      </w:r>
    </w:p>
    <w:p>
      <w:r>
        <w:rPr>
          <w:rFonts w:ascii="Times New Roman" w:hAnsi="Times New Roman"/>
          <w:b/>
          <w:sz w:val="24"/>
        </w:rPr>
        <w:t>2.5 Standards-based assessment as criterion reference</w:t>
      </w:r>
    </w:p>
    <w:p>
      <w:pPr>
        <w:spacing w:line="480" w:lineRule="auto"/>
        <w:ind w:firstLine="720"/>
      </w:pPr>
      <w:r>
        <w:rPr>
          <w:rFonts w:ascii="Times New Roman" w:hAnsi="Times New Roman"/>
          <w:sz w:val="24"/>
        </w:rPr>
        <w:t xml:space="preserve">Standards-based assessment treats an external criterion as the reference for sequencing, difficulty, and compliance (Popham, 2001; Wiliam, 2011). GF 0025-2021 supplies grade tables that many TCSoL programs treat as institutional anchors. CC-Eval uses standards as </w:t>
      </w:r>
      <w:r>
        <w:rPr>
          <w:rFonts w:ascii="Times New Roman" w:hAnsi="Times New Roman"/>
          <w:b/>
          <w:sz w:val="24"/>
        </w:rPr>
        <w:t>gold for closed tasks</w:t>
      </w:r>
      <w:r>
        <w:rPr>
          <w:rFonts w:ascii="Times New Roman" w:hAnsi="Times New Roman"/>
          <w:sz w:val="24"/>
        </w:rPr>
        <w:t xml:space="preserve"> (KNO; PED locate) and as </w:t>
      </w:r>
      <w:r>
        <w:rPr>
          <w:rFonts w:ascii="Times New Roman" w:hAnsi="Times New Roman"/>
          <w:b/>
          <w:sz w:val="24"/>
        </w:rPr>
        <w:t>constraint tables for generation</w:t>
      </w:r>
      <w:r>
        <w:rPr>
          <w:rFonts w:ascii="Times New Roman" w:hAnsi="Times New Roman"/>
          <w:sz w:val="24"/>
        </w:rPr>
        <w:t xml:space="preserve">. </w:t>
      </w:r>
      <w:r>
        <w:rPr>
          <w:rFonts w:ascii="Times New Roman" w:hAnsi="Times New Roman"/>
          <w:b/>
          <w:sz w:val="24"/>
        </w:rPr>
        <w:t>CUL</w:t>
      </w:r>
      <w:r>
        <w:rPr>
          <w:rFonts w:ascii="Times New Roman" w:hAnsi="Times New Roman"/>
          <w:sz w:val="24"/>
        </w:rPr>
        <w:t xml:space="preserve"> items are anchored to culture-teaching frameworks, reflecting that intercultural Q&amp;A is a standards-linked teacher action.</w:t>
      </w:r>
    </w:p>
    <w:p>
      <w:pPr>
        <w:spacing w:line="480" w:lineRule="auto"/>
        <w:ind w:firstLine="720"/>
      </w:pPr>
      <w:r>
        <w:rPr>
          <w:rFonts w:ascii="Times New Roman" w:hAnsi="Times New Roman"/>
          <w:sz w:val="24"/>
        </w:rPr>
        <w:t>The expected dissociation—tested descriptively—is between fluent pedagogical *generation* and accurate standards *locating/memory*. Near-ceiling scenario drafts without accurate clause locating support treating drafting fluency and standards-operational literacy as separable constructs—again a mechanism claim, not merely a leaderboard curiosity.</w:t>
      </w:r>
    </w:p>
    <w:p>
      <w:r>
        <w:rPr>
          <w:rFonts w:ascii="Times New Roman" w:hAnsi="Times New Roman"/>
          <w:b/>
          <w:sz w:val="24"/>
        </w:rPr>
        <w:t>2.6 Expertise, chunking, and why “knowing Chinese” is not enough</w:t>
      </w:r>
    </w:p>
    <w:p>
      <w:pPr>
        <w:spacing w:line="480" w:lineRule="auto"/>
        <w:ind w:firstLine="720"/>
      </w:pPr>
      <w:r>
        <w:rPr>
          <w:rFonts w:ascii="Times New Roman" w:hAnsi="Times New Roman"/>
          <w:sz w:val="24"/>
        </w:rPr>
        <w:t>Expertise research shows that skilled performance depends on organized knowledge structures—chunks, schemas, and retrieval structures—not merely raw exposure (Gobet et al., 2001; Ericsson &amp; Pool, 2016). TCSoL teacher expertise includes schemas for grade sequencing, error typology, scoring rubrics, and culturally appropriate explanation. An LLM trained on vast Chinese text may possess fluent linguistic chunks while lacking teacher-facing organizational schemas tied to GF 0025 and institutional standards documents.</w:t>
      </w:r>
    </w:p>
    <w:p>
      <w:pPr>
        <w:spacing w:line="480" w:lineRule="auto"/>
        <w:ind w:firstLine="720"/>
      </w:pPr>
      <w:r>
        <w:rPr>
          <w:rFonts w:ascii="Times New Roman" w:hAnsi="Times New Roman"/>
          <w:sz w:val="24"/>
        </w:rPr>
        <w:t>*Interpretation.* This predicts the signature we later observe: high culture/pragmatics fluency coexisting with weak grade knowledge and catastrophic clause locating. The model has language; it does not stably have the teacher’s standards schema.</w:t>
      </w:r>
    </w:p>
    <w:p>
      <w:r>
        <w:rPr>
          <w:rFonts w:ascii="Times New Roman" w:hAnsi="Times New Roman"/>
          <w:b/>
          <w:sz w:val="24"/>
        </w:rPr>
        <w:t>2.7 Human–AI teaming and monitoring costs</w:t>
      </w:r>
    </w:p>
    <w:p>
      <w:pPr>
        <w:spacing w:line="480" w:lineRule="auto"/>
        <w:ind w:firstLine="720"/>
      </w:pPr>
      <w:r>
        <w:rPr>
          <w:rFonts w:ascii="Times New Roman" w:hAnsi="Times New Roman"/>
          <w:sz w:val="24"/>
        </w:rPr>
        <w:t>Human–AI teaming research emphasizes complementary roles, uncertainty communication, and the risk that automation complacency degrades monitoring (Parasuraman &amp; Riley, 1997; Holstein et al., 2020; Molenaar, 2022). In education, complacency is especially dangerous because errors can become curriculum. A false “correct grade” or a fluent but out-of-level passage can propagate into materials and feedback.</w:t>
      </w:r>
    </w:p>
    <w:p>
      <w:pPr>
        <w:spacing w:line="480" w:lineRule="auto"/>
        <w:ind w:firstLine="720"/>
      </w:pPr>
      <w:r>
        <w:rPr>
          <w:rFonts w:ascii="Times New Roman" w:hAnsi="Times New Roman"/>
          <w:sz w:val="24"/>
        </w:rPr>
        <w:t>Mechanism mapping supports teaming design: where constraint satisfaction fails, hard gates (lexicon checkers) are needed; where evaluative judgment is mid-range, human final authority is needed; where pragmatic mediation is high but reliability is only moderate, ideation under oversight is safer than autonomous cultural authority.</w:t>
      </w:r>
    </w:p>
    <w:p>
      <w:r>
        <w:rPr>
          <w:rFonts w:ascii="Times New Roman" w:hAnsi="Times New Roman"/>
          <w:b/>
          <w:sz w:val="24"/>
        </w:rPr>
        <w:t>2.8 Threading summary: theory → tasks → mechanism bands</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Theoretical strand</w:t>
            </w:r>
          </w:p>
        </w:tc>
        <w:tc>
          <w:tcPr>
            <w:tcW w:type="dxa" w:w="2880"/>
          </w:tcPr>
          <w:p>
            <w:r>
              <w:rPr>
                <w:rFonts w:ascii="Times New Roman" w:hAnsi="Times New Roman"/>
                <w:b/>
                <w:sz w:val="20"/>
              </w:rPr>
              <w:t>Primary task mapping</w:t>
            </w:r>
          </w:p>
        </w:tc>
        <w:tc>
          <w:tcPr>
            <w:tcW w:type="dxa" w:w="2880"/>
          </w:tcPr>
          <w:p>
            <w:r>
              <w:rPr>
                <w:rFonts w:ascii="Times New Roman" w:hAnsi="Times New Roman"/>
                <w:b/>
                <w:sz w:val="20"/>
              </w:rPr>
              <w:t>Mechanism interpretation</w:t>
            </w:r>
          </w:p>
        </w:tc>
      </w:tr>
      <w:tr>
        <w:tc>
          <w:tcPr>
            <w:tcW w:type="dxa" w:w="2880"/>
          </w:tcPr>
          <w:p>
            <w:r>
              <w:rPr>
                <w:rFonts w:ascii="Times New Roman" w:hAnsi="Times New Roman"/>
                <w:sz w:val="20"/>
              </w:rPr>
              <w:t>AWE / argument-based validation</w:t>
            </w:r>
          </w:p>
        </w:tc>
        <w:tc>
          <w:tcPr>
            <w:tcW w:type="dxa" w:w="2880"/>
          </w:tcPr>
          <w:p>
            <w:r>
              <w:rPr>
                <w:rFonts w:ascii="Times New Roman" w:hAnsi="Times New Roman"/>
                <w:sz w:val="20"/>
              </w:rPr>
              <w:t>SCO (+ ERR attribution consequences; PED rubric trust)</w:t>
            </w:r>
          </w:p>
        </w:tc>
        <w:tc>
          <w:tcPr>
            <w:tcW w:type="dxa" w:w="2880"/>
          </w:tcPr>
          <w:p>
            <w:r>
              <w:rPr>
                <w:rFonts w:ascii="Times New Roman" w:hAnsi="Times New Roman"/>
                <w:sz w:val="20"/>
              </w:rPr>
              <w:t>Evaluative judgment: association/bias must support assistive use</w:t>
            </w:r>
          </w:p>
        </w:tc>
      </w:tr>
      <w:tr>
        <w:tc>
          <w:tcPr>
            <w:tcW w:type="dxa" w:w="2880"/>
          </w:tcPr>
          <w:p>
            <w:r>
              <w:rPr>
                <w:rFonts w:ascii="Times New Roman" w:hAnsi="Times New Roman"/>
                <w:sz w:val="20"/>
              </w:rPr>
              <w:t>Graded input / vocabulary constraint</w:t>
            </w:r>
          </w:p>
        </w:tc>
        <w:tc>
          <w:tcPr>
            <w:tcW w:type="dxa" w:w="2880"/>
          </w:tcPr>
          <w:p>
            <w:r>
              <w:rPr>
                <w:rFonts w:ascii="Times New Roman" w:hAnsi="Times New Roman"/>
                <w:sz w:val="20"/>
              </w:rPr>
              <w:t>GEN rewrite &amp; OOV; KNO grade tables</w:t>
            </w:r>
          </w:p>
        </w:tc>
        <w:tc>
          <w:tcPr>
            <w:tcW w:type="dxa" w:w="2880"/>
          </w:tcPr>
          <w:p>
            <w:r>
              <w:rPr>
                <w:rFonts w:ascii="Times New Roman" w:hAnsi="Times New Roman"/>
                <w:sz w:val="20"/>
              </w:rPr>
              <w:t>Constraint satisfaction / parametric memory of grade boundaries</w:t>
            </w:r>
          </w:p>
        </w:tc>
      </w:tr>
      <w:tr>
        <w:tc>
          <w:tcPr>
            <w:tcW w:type="dxa" w:w="2880"/>
          </w:tcPr>
          <w:p>
            <w:r>
              <w:rPr>
                <w:rFonts w:ascii="Times New Roman" w:hAnsi="Times New Roman"/>
                <w:sz w:val="20"/>
              </w:rPr>
              <w:t>Standards-based criterion reference</w:t>
            </w:r>
          </w:p>
        </w:tc>
        <w:tc>
          <w:tcPr>
            <w:tcW w:type="dxa" w:w="2880"/>
          </w:tcPr>
          <w:p>
            <w:r>
              <w:rPr>
                <w:rFonts w:ascii="Times New Roman" w:hAnsi="Times New Roman"/>
                <w:sz w:val="20"/>
              </w:rPr>
              <w:t>KNO; PED locate; CUL anchors</w:t>
            </w:r>
          </w:p>
        </w:tc>
        <w:tc>
          <w:tcPr>
            <w:tcW w:type="dxa" w:w="2880"/>
          </w:tcPr>
          <w:p>
            <w:r>
              <w:rPr>
                <w:rFonts w:ascii="Times New Roman" w:hAnsi="Times New Roman"/>
                <w:sz w:val="20"/>
              </w:rPr>
              <w:t>Criterion reference vs. fluent generation dissociation</w:t>
            </w:r>
          </w:p>
        </w:tc>
      </w:tr>
      <w:tr>
        <w:tc>
          <w:tcPr>
            <w:tcW w:type="dxa" w:w="2880"/>
          </w:tcPr>
          <w:p>
            <w:r>
              <w:rPr>
                <w:rFonts w:ascii="Times New Roman" w:hAnsi="Times New Roman"/>
                <w:sz w:val="20"/>
              </w:rPr>
              <w:t>Expertise / schema organization</w:t>
            </w:r>
          </w:p>
        </w:tc>
        <w:tc>
          <w:tcPr>
            <w:tcW w:type="dxa" w:w="2880"/>
          </w:tcPr>
          <w:p>
            <w:r>
              <w:rPr>
                <w:rFonts w:ascii="Times New Roman" w:hAnsi="Times New Roman"/>
                <w:sz w:val="20"/>
              </w:rPr>
              <w:t>KNO + PED locate vs. CUL/GEN scenario</w:t>
            </w:r>
          </w:p>
        </w:tc>
        <w:tc>
          <w:tcPr>
            <w:tcW w:type="dxa" w:w="2880"/>
          </w:tcPr>
          <w:p>
            <w:r>
              <w:rPr>
                <w:rFonts w:ascii="Times New Roman" w:hAnsi="Times New Roman"/>
                <w:sz w:val="20"/>
              </w:rPr>
              <w:t>Linguistic fluency ≠ teacher standards schema</w:t>
            </w:r>
          </w:p>
        </w:tc>
      </w:tr>
      <w:tr>
        <w:tc>
          <w:tcPr>
            <w:tcW w:type="dxa" w:w="2880"/>
          </w:tcPr>
          <w:p>
            <w:r>
              <w:rPr>
                <w:rFonts w:ascii="Times New Roman" w:hAnsi="Times New Roman"/>
                <w:sz w:val="20"/>
              </w:rPr>
              <w:t>Human–AI teaming / monitoring</w:t>
            </w:r>
          </w:p>
        </w:tc>
        <w:tc>
          <w:tcPr>
            <w:tcW w:type="dxa" w:w="2880"/>
          </w:tcPr>
          <w:p>
            <w:r>
              <w:rPr>
                <w:rFonts w:ascii="Times New Roman" w:hAnsi="Times New Roman"/>
                <w:sz w:val="20"/>
              </w:rPr>
              <w:t>All bands</w:t>
            </w:r>
          </w:p>
        </w:tc>
        <w:tc>
          <w:tcPr>
            <w:tcW w:type="dxa" w:w="2880"/>
          </w:tcPr>
          <w:p>
            <w:r>
              <w:rPr>
                <w:rFonts w:ascii="Times New Roman" w:hAnsi="Times New Roman"/>
                <w:sz w:val="20"/>
              </w:rPr>
              <w:t>Scaffold vs. not-ready depends on failure systemicness</w:t>
            </w:r>
          </w:p>
        </w:tc>
      </w:tr>
    </w:tbl>
    <w:p/>
    <w:p>
      <w:pPr>
        <w:spacing w:line="480" w:lineRule="auto"/>
        <w:ind w:firstLine="720"/>
      </w:pPr>
      <w:r>
        <w:rPr>
          <w:rFonts w:ascii="Times New Roman" w:hAnsi="Times New Roman"/>
          <w:sz w:val="24"/>
        </w:rPr>
        <w:t>This framework guides equal-weight design and the later mechanism reading of results. Ready-like bands require means plus use-consequence metrics; scaffold fits mid-range performance convertible by retrieval, lexicon gates, or teacher confirmation; not-ready is reserved for systemic constraint/compliance failure (rewrite ≤15%; locate max 8.9%).</w:t>
      </w:r>
    </w:p>
    <w:p>
      <w:r>
        <w:rPr>
          <w:rFonts w:ascii="Times New Roman" w:hAnsi="Times New Roman"/>
          <w:b/>
          <w:sz w:val="28"/>
        </w:rPr>
        <w:t>3. Materials and Methods</w:t>
      </w:r>
    </w:p>
    <w:p>
      <w:r>
        <w:rPr>
          <w:rFonts w:ascii="Times New Roman" w:hAnsi="Times New Roman"/>
          <w:b/>
          <w:sz w:val="24"/>
        </w:rPr>
        <w:t>3.1 Design overview</w:t>
      </w:r>
    </w:p>
    <w:p>
      <w:pPr>
        <w:spacing w:line="480" w:lineRule="auto"/>
        <w:ind w:firstLine="720"/>
      </w:pPr>
      <w:r>
        <w:rPr>
          <w:rFonts w:ascii="Times New Roman" w:hAnsi="Times New Roman"/>
          <w:sz w:val="24"/>
        </w:rPr>
        <w:t xml:space="preserve">This study is a </w:t>
      </w:r>
      <w:r>
        <w:rPr>
          <w:rFonts w:ascii="Times New Roman" w:hAnsi="Times New Roman"/>
          <w:b/>
          <w:sz w:val="24"/>
        </w:rPr>
        <w:t>benchmark evaluation</w:t>
      </w:r>
      <w:r>
        <w:rPr>
          <w:rFonts w:ascii="Times New Roman" w:hAnsi="Times New Roman"/>
          <w:sz w:val="24"/>
        </w:rPr>
        <w:t xml:space="preserve"> (descriptive multi-model comparison under a fixed item battery), not a randomized classroom experiment. The design matches the RQs: overall totals (RQ1), task and subtask stratification for mechanism dissociation (RQ2), diagnostic metrics beyond means (RQ3), and measurement-trust evidence (RQ4).</w:t>
      </w:r>
    </w:p>
    <w:p>
      <w:pPr>
        <w:spacing w:line="480" w:lineRule="auto"/>
        <w:ind w:firstLine="720"/>
      </w:pPr>
      <w:r>
        <w:rPr>
          <w:rFonts w:ascii="Times New Roman" w:hAnsi="Times New Roman"/>
          <w:sz w:val="24"/>
        </w:rPr>
      </w:r>
      <w:r>
        <w:rPr>
          <w:rFonts w:ascii="Times New Roman" w:hAnsi="Times New Roman"/>
          <w:b/>
          <w:sz w:val="24"/>
        </w:rPr>
        <w:t>Equal-weight aggregation</w:t>
      </w:r>
      <w:r>
        <w:rPr>
          <w:rFonts w:ascii="Times New Roman" w:hAnsi="Times New Roman"/>
          <w:sz w:val="24"/>
        </w:rPr>
        <w:t xml:space="preserve"> (mean of six task percentages) was chosen so that no single high-volume task (e.g., KNO with hundreds of items) would dominate the headline total, and so that culture and pedagogy still count as first-class educational actions. *Interpretation.* Equal weight is a transparency choice for mechanism mapping, not a claim that all classroom minutes are equal.</w:t>
      </w:r>
    </w:p>
    <w:p>
      <w:pPr>
        <w:spacing w:line="480" w:lineRule="auto"/>
        <w:ind w:firstLine="720"/>
      </w:pPr>
      <w:r>
        <w:rPr>
          <w:rFonts w:ascii="Times New Roman" w:hAnsi="Times New Roman"/>
          <w:sz w:val="24"/>
        </w:rPr>
      </w:r>
      <w:r>
        <w:rPr>
          <w:rFonts w:ascii="Times New Roman" w:hAnsi="Times New Roman"/>
          <w:b/>
          <w:sz w:val="24"/>
        </w:rPr>
        <w:t>Free/light-tier focus</w:t>
      </w:r>
      <w:r>
        <w:rPr>
          <w:rFonts w:ascii="Times New Roman" w:hAnsi="Times New Roman"/>
          <w:sz w:val="24"/>
        </w:rPr>
        <w:t xml:space="preserve"> matches ecological access for many TCSoL programs and labs. Flagship tiers are expected to score higher (*interpretation*); all conclusions are scoped to the tested free/light endpoints. A benchmark-first sequence is intentional: without task-level evidence of grade-control and locate failures, classroom experiments would risk testing interventions under false assumptions of model readiness.</w:t>
      </w:r>
    </w:p>
    <w:p>
      <w:r>
        <w:rPr>
          <w:rFonts w:ascii="Times New Roman" w:hAnsi="Times New Roman"/>
          <w:b/>
          <w:sz w:val="24"/>
        </w:rPr>
        <w:t>3.2 The CC-Eval construct map</w:t>
      </w:r>
    </w:p>
    <w:p>
      <w:pPr>
        <w:spacing w:line="480" w:lineRule="auto"/>
        <w:ind w:firstLine="720"/>
      </w:pPr>
      <w:r>
        <w:rPr>
          <w:rFonts w:ascii="Times New Roman" w:hAnsi="Times New Roman"/>
          <w:sz w:val="24"/>
        </w:rPr>
        <w:t xml:space="preserve">CC-Eval v1.0 comprises </w:t>
      </w:r>
      <w:r>
        <w:rPr>
          <w:rFonts w:ascii="Times New Roman" w:hAnsi="Times New Roman"/>
          <w:b/>
          <w:sz w:val="24"/>
        </w:rPr>
        <w:t>1,555</w:t>
      </w:r>
      <w:r>
        <w:rPr>
          <w:rFonts w:ascii="Times New Roman" w:hAnsi="Times New Roman"/>
          <w:sz w:val="24"/>
        </w:rPr>
        <w:t xml:space="preserve"> items in six equal-weight tasks:</w:t>
      </w:r>
    </w:p>
    <w:p>
      <w:pPr>
        <w:spacing w:line="480" w:lineRule="auto"/>
        <w:ind w:firstLine="720"/>
      </w:pPr>
      <w:r>
        <w:rPr>
          <w:rFonts w:ascii="Times New Roman" w:hAnsi="Times New Roman"/>
          <w:sz w:val="24"/>
        </w:rPr>
        <w:t xml:space="preserve">1. </w:t>
      </w:r>
      <w:r>
        <w:rPr>
          <w:rFonts w:ascii="Times New Roman" w:hAnsi="Times New Roman"/>
          <w:b/>
          <w:sz w:val="24"/>
        </w:rPr>
        <w:t>KNO (grade knowledge)</w:t>
      </w:r>
      <w:r>
        <w:rPr>
          <w:rFonts w:ascii="Times New Roman" w:hAnsi="Times New Roman"/>
          <w:sz w:val="24"/>
        </w:rPr>
        <w:t xml:space="preserve"> — Identify grade membership of syllables, characters, words, and grammar points under GF 0025-2021. Cognitive demand: parametric (or retrieved) standards memory.</w:t>
      </w:r>
    </w:p>
    <w:p>
      <w:pPr>
        <w:spacing w:line="480" w:lineRule="auto"/>
        <w:ind w:firstLine="720"/>
      </w:pPr>
      <w:r>
        <w:rPr>
          <w:rFonts w:ascii="Times New Roman" w:hAnsi="Times New Roman"/>
          <w:sz w:val="24"/>
        </w:rPr>
        <w:t xml:space="preserve">2. </w:t>
      </w:r>
      <w:r>
        <w:rPr>
          <w:rFonts w:ascii="Times New Roman" w:hAnsi="Times New Roman"/>
          <w:b/>
          <w:sz w:val="24"/>
        </w:rPr>
        <w:t>ERR (error diagnosis)</w:t>
      </w:r>
      <w:r>
        <w:rPr>
          <w:rFonts w:ascii="Times New Roman" w:hAnsi="Times New Roman"/>
          <w:sz w:val="24"/>
        </w:rPr>
        <w:t xml:space="preserve"> — Detect and attribute learner errors in authentic L2 writing. Cognitive demand: diagnostic categorization under noisy learner language.</w:t>
      </w:r>
    </w:p>
    <w:p>
      <w:pPr>
        <w:spacing w:line="480" w:lineRule="auto"/>
        <w:ind w:firstLine="720"/>
      </w:pPr>
      <w:r>
        <w:rPr>
          <w:rFonts w:ascii="Times New Roman" w:hAnsi="Times New Roman"/>
          <w:sz w:val="24"/>
        </w:rPr>
        <w:t xml:space="preserve">3. </w:t>
      </w:r>
      <w:r>
        <w:rPr>
          <w:rFonts w:ascii="Times New Roman" w:hAnsi="Times New Roman"/>
          <w:b/>
          <w:sz w:val="24"/>
        </w:rPr>
        <w:t>SCO (essay scoring)</w:t>
      </w:r>
      <w:r>
        <w:rPr>
          <w:rFonts w:ascii="Times New Roman" w:hAnsi="Times New Roman"/>
          <w:sz w:val="24"/>
        </w:rPr>
        <w:t xml:space="preserve"> — Score learner essays against human labels from the HSK Dynamic Composition Corpus. Cognitive demand: evaluative judgment / score meaning.</w:t>
      </w:r>
    </w:p>
    <w:p>
      <w:pPr>
        <w:spacing w:line="480" w:lineRule="auto"/>
        <w:ind w:firstLine="720"/>
      </w:pPr>
      <w:r>
        <w:rPr>
          <w:rFonts w:ascii="Times New Roman" w:hAnsi="Times New Roman"/>
          <w:sz w:val="24"/>
        </w:rPr>
        <w:t xml:space="preserve">4. </w:t>
      </w:r>
      <w:r>
        <w:rPr>
          <w:rFonts w:ascii="Times New Roman" w:hAnsi="Times New Roman"/>
          <w:b/>
          <w:sz w:val="24"/>
        </w:rPr>
        <w:t>GEN (teaching generation)</w:t>
      </w:r>
      <w:r>
        <w:rPr>
          <w:rFonts w:ascii="Times New Roman" w:hAnsi="Times New Roman"/>
          <w:sz w:val="24"/>
        </w:rPr>
        <w:t xml:space="preserve"> — Produce pedagogically constrained text, including level-controlled rewrite. Cognitive demand: constraint satisfaction under grade lexicons.</w:t>
      </w:r>
    </w:p>
    <w:p>
      <w:pPr>
        <w:spacing w:line="480" w:lineRule="auto"/>
        <w:ind w:firstLine="720"/>
      </w:pPr>
      <w:r>
        <w:rPr>
          <w:rFonts w:ascii="Times New Roman" w:hAnsi="Times New Roman"/>
          <w:sz w:val="24"/>
        </w:rPr>
        <w:t xml:space="preserve">5. </w:t>
      </w:r>
      <w:r>
        <w:rPr>
          <w:rFonts w:ascii="Times New Roman" w:hAnsi="Times New Roman"/>
          <w:b/>
          <w:sz w:val="24"/>
        </w:rPr>
        <w:t>CUL (culture/pragmatics)</w:t>
      </w:r>
      <w:r>
        <w:rPr>
          <w:rFonts w:ascii="Times New Roman" w:hAnsi="Times New Roman"/>
          <w:sz w:val="24"/>
        </w:rPr>
        <w:t xml:space="preserve"> — Answer culture and pragmatics questions anchored to culture-teaching frameworks. Cognitive demand: pragmatic/cultural mediation.</w:t>
      </w:r>
    </w:p>
    <w:p>
      <w:pPr>
        <w:spacing w:line="480" w:lineRule="auto"/>
        <w:ind w:firstLine="720"/>
      </w:pPr>
      <w:r>
        <w:rPr>
          <w:rFonts w:ascii="Times New Roman" w:hAnsi="Times New Roman"/>
          <w:sz w:val="24"/>
        </w:rPr>
        <w:t xml:space="preserve">6. </w:t>
      </w:r>
      <w:r>
        <w:rPr>
          <w:rFonts w:ascii="Times New Roman" w:hAnsi="Times New Roman"/>
          <w:b/>
          <w:sz w:val="24"/>
        </w:rPr>
        <w:t>PED (standards/pedagogy)</w:t>
      </w:r>
      <w:r>
        <w:rPr>
          <w:rFonts w:ascii="Times New Roman" w:hAnsi="Times New Roman"/>
          <w:sz w:val="24"/>
        </w:rPr>
        <w:t xml:space="preserve"> — Locate textbook-standard clauses and draft vocational teaching scenarios. Cognitive demand: standards-operational literacy versus generative pedagogical fluency.</w:t>
      </w:r>
    </w:p>
    <w:p>
      <w:pPr>
        <w:spacing w:line="480" w:lineRule="auto"/>
        <w:ind w:firstLine="720"/>
      </w:pPr>
      <w:r>
        <w:rPr>
          <w:rFonts w:ascii="Times New Roman" w:hAnsi="Times New Roman"/>
          <w:sz w:val="24"/>
        </w:rPr>
        <w:t xml:space="preserve">Scoring combines </w:t>
      </w:r>
      <w:r>
        <w:rPr>
          <w:rFonts w:ascii="Times New Roman" w:hAnsi="Times New Roman"/>
          <w:b/>
          <w:sz w:val="24"/>
        </w:rPr>
        <w:t>automatic scorers on 1,357 items</w:t>
      </w:r>
      <w:r>
        <w:rPr>
          <w:rFonts w:ascii="Times New Roman" w:hAnsi="Times New Roman"/>
          <w:sz w:val="24"/>
        </w:rPr>
        <w:t xml:space="preserve"> with </w:t>
      </w:r>
      <w:r>
        <w:rPr>
          <w:rFonts w:ascii="Times New Roman" w:hAnsi="Times New Roman"/>
          <w:b/>
          <w:sz w:val="24"/>
        </w:rPr>
        <w:t>LLM-rubric scoring on 198 items</w:t>
      </w:r>
      <w:r>
        <w:rPr>
          <w:rFonts w:ascii="Times New Roman" w:hAnsi="Times New Roman"/>
          <w:sz w:val="24"/>
        </w:rPr>
        <w:t xml:space="preserve">. Public release includes </w:t>
      </w:r>
      <w:r>
        <w:rPr>
          <w:rFonts w:ascii="Times New Roman" w:hAnsi="Times New Roman"/>
          <w:b/>
          <w:sz w:val="24"/>
        </w:rPr>
        <w:t>928</w:t>
      </w:r>
      <w:r>
        <w:rPr>
          <w:rFonts w:ascii="Times New Roman" w:hAnsi="Times New Roman"/>
          <w:sz w:val="24"/>
        </w:rPr>
        <w:t xml:space="preserve"> items; licensed corpus-linked materials remain under HSK Dynamic Composition Corpus authorization constraints and are represented in aggregates only.</w:t>
      </w:r>
    </w:p>
    <w:p>
      <w:r>
        <w:rPr>
          <w:rFonts w:ascii="Times New Roman" w:hAnsi="Times New Roman"/>
          <w:b/>
          <w:sz w:val="24"/>
        </w:rPr>
        <w:t>3.3 Item ecology and ecological validity</w:t>
      </w:r>
    </w:p>
    <w:p>
      <w:pPr>
        <w:spacing w:line="480" w:lineRule="auto"/>
        <w:ind w:firstLine="720"/>
      </w:pPr>
      <w:r>
        <w:rPr>
          <w:rFonts w:ascii="Times New Roman" w:hAnsi="Times New Roman"/>
          <w:sz w:val="24"/>
        </w:rPr>
        <w:t>Where possible, items reuse authentic educational materials: standards tables, learner writing, culture-framework prompts, and textbook-standard clauses. This ecology raises contamination risk for knowledge-like tasks (public standards text may appear in pretraining) while strengthening ecological validity for teacher workflows. CC-Eval therefore treats high KNO cautiously (possible exposure) and treats low KNO as especially informative (failure even under possible exposure). GEN rewrite and PED locate items use programmatically generated or template-transformed stems (seed documented in the repository) to reduce contamination for the most mechanism-critical failures.</w:t>
      </w:r>
    </w:p>
    <w:p>
      <w:r>
        <w:rPr>
          <w:rFonts w:ascii="Times New Roman" w:hAnsi="Times New Roman"/>
          <w:b/>
          <w:sz w:val="24"/>
        </w:rPr>
        <w:t>3.4 Models and prompting protocol</w:t>
      </w:r>
    </w:p>
    <w:p>
      <w:pPr>
        <w:spacing w:line="480" w:lineRule="auto"/>
        <w:ind w:firstLine="720"/>
      </w:pPr>
      <w:r>
        <w:rPr>
          <w:rFonts w:ascii="Times New Roman" w:hAnsi="Times New Roman"/>
          <w:sz w:val="24"/>
        </w:rPr>
        <w:t>Eleven free/light-tier models from major providers were evaluated under default API decoding, single sample per item, closed-book (no external tools, no retrieval, no lexicon plug-ins). Provider free/light endpoints are treated as the ecological baseline for cost-constrained educational settings. Model identifiers in results follow repository short names (e.g., k3-agent, deepseek, hunyuan, grok, qwen, ernie, doubao, stepfun, zhipu, k2d6-agent, tchub-dsv4f). Temperature and other decoding knobs were left at provider defaults to approximate “what a teacher would get out of the box.”</w:t>
      </w:r>
    </w:p>
    <w:p>
      <w:pPr>
        <w:spacing w:line="480" w:lineRule="auto"/>
        <w:ind w:firstLine="720"/>
      </w:pPr>
      <w:r>
        <w:rPr>
          <w:rFonts w:ascii="Times New Roman" w:hAnsi="Times New Roman"/>
          <w:sz w:val="24"/>
        </w:rPr>
        <w:t>Prompts were task-specific but held constant across models. No chain-of-thought forcing, tool use, or multi-agent debate was allowed in the primary run, because the scientific target is baseline generative mechanisms under ordinary access—not optimized agent stacks.</w:t>
      </w:r>
    </w:p>
    <w:p>
      <w:r>
        <w:rPr>
          <w:rFonts w:ascii="Times New Roman" w:hAnsi="Times New Roman"/>
          <w:b/>
          <w:sz w:val="24"/>
        </w:rPr>
        <w:t>3.5 Metrics</w:t>
      </w:r>
    </w:p>
    <w:p>
      <w:pPr>
        <w:spacing w:line="480" w:lineRule="auto"/>
        <w:ind w:firstLine="720"/>
      </w:pPr>
      <w:r>
        <w:rPr>
          <w:rFonts w:ascii="Times New Roman" w:hAnsi="Times New Roman"/>
          <w:sz w:val="24"/>
        </w:rPr>
      </w:r>
      <w:r>
        <w:rPr>
          <w:rFonts w:ascii="Times New Roman" w:hAnsi="Times New Roman"/>
          <w:b/>
          <w:sz w:val="24"/>
        </w:rPr>
        <w:t>Task percentage.</w:t>
      </w:r>
      <w:r>
        <w:rPr>
          <w:rFonts w:ascii="Times New Roman" w:hAnsi="Times New Roman"/>
          <w:sz w:val="24"/>
        </w:rPr>
        <w:t xml:space="preserve"> Each task score is the percentage of item-level success (or scaled rubric mean mapped to 0–100), following repository scorers.</w:t>
      </w:r>
    </w:p>
    <w:p>
      <w:pPr>
        <w:spacing w:line="480" w:lineRule="auto"/>
        <w:ind w:firstLine="720"/>
      </w:pPr>
      <w:r>
        <w:rPr>
          <w:rFonts w:ascii="Times New Roman" w:hAnsi="Times New Roman"/>
          <w:sz w:val="24"/>
        </w:rPr>
      </w:r>
      <w:r>
        <w:rPr>
          <w:rFonts w:ascii="Times New Roman" w:hAnsi="Times New Roman"/>
          <w:b/>
          <w:sz w:val="24"/>
        </w:rPr>
        <w:t>Equal-weight total.</w:t>
      </w:r>
      <w:r>
        <w:rPr>
          <w:rFonts w:ascii="Times New Roman" w:hAnsi="Times New Roman"/>
          <w:sz w:val="24"/>
        </w:rPr>
        <w:t xml:space="preserve"> Mean of six task percentages.</w:t>
      </w:r>
    </w:p>
    <w:p>
      <w:pPr>
        <w:spacing w:line="480" w:lineRule="auto"/>
        <w:ind w:firstLine="720"/>
      </w:pPr>
      <w:r>
        <w:rPr>
          <w:rFonts w:ascii="Times New Roman" w:hAnsi="Times New Roman"/>
          <w:sz w:val="24"/>
        </w:rPr>
      </w:r>
      <w:r>
        <w:rPr>
          <w:rFonts w:ascii="Times New Roman" w:hAnsi="Times New Roman"/>
          <w:b/>
          <w:sz w:val="24"/>
        </w:rPr>
        <w:t>SCO diagnostics.</w:t>
      </w:r>
      <w:r>
        <w:rPr>
          <w:rFonts w:ascii="Times New Roman" w:hAnsi="Times New Roman"/>
          <w:sz w:val="24"/>
        </w:rPr>
        <w:t xml:space="preserve"> Pearson *r*, Spearman ρ, quadratic weighted kappa on a 10-point discretization (QWK), predicted mean versus gold mean, and predicted SD, computed on *n* ≈ 250 essays per model (minor missingness documented in aggregates).</w:t>
      </w:r>
    </w:p>
    <w:p>
      <w:pPr>
        <w:spacing w:line="480" w:lineRule="auto"/>
        <w:ind w:firstLine="720"/>
      </w:pPr>
      <w:r>
        <w:rPr>
          <w:rFonts w:ascii="Times New Roman" w:hAnsi="Times New Roman"/>
          <w:sz w:val="24"/>
        </w:rPr>
      </w:r>
      <w:r>
        <w:rPr>
          <w:rFonts w:ascii="Times New Roman" w:hAnsi="Times New Roman"/>
          <w:b/>
          <w:sz w:val="24"/>
        </w:rPr>
        <w:t>GEN diagnostics.</w:t>
      </w:r>
      <w:r>
        <w:rPr>
          <w:rFonts w:ascii="Times New Roman" w:hAnsi="Times New Roman"/>
          <w:sz w:val="24"/>
        </w:rPr>
        <w:t xml:space="preserve"> Mean/median OOV rate relative to target-grade vocabulary tables; rewrite pass rate for level-controlled rewrite (*n* = 120).</w:t>
      </w:r>
    </w:p>
    <w:p>
      <w:pPr>
        <w:spacing w:line="480" w:lineRule="auto"/>
        <w:ind w:firstLine="720"/>
      </w:pPr>
      <w:r>
        <w:rPr>
          <w:rFonts w:ascii="Times New Roman" w:hAnsi="Times New Roman"/>
          <w:sz w:val="24"/>
        </w:rPr>
      </w:r>
      <w:r>
        <w:rPr>
          <w:rFonts w:ascii="Times New Roman" w:hAnsi="Times New Roman"/>
          <w:b/>
          <w:sz w:val="24"/>
        </w:rPr>
        <w:t>Uncertainty.</w:t>
      </w:r>
      <w:r>
        <w:rPr>
          <w:rFonts w:ascii="Times New Roman" w:hAnsi="Times New Roman"/>
          <w:sz w:val="24"/>
        </w:rPr>
        <w:t xml:space="preserve"> Bootstrap/binomial confidence intervals for task percentages are reported in repository `stats_ci.json` for leading models; sampling noise of roughly ±2 points is acknowledged for single-sample decoding.</w:t>
      </w:r>
    </w:p>
    <w:p>
      <w:pPr>
        <w:spacing w:line="480" w:lineRule="auto"/>
        <w:ind w:firstLine="720"/>
      </w:pPr>
      <w:r>
        <w:rPr>
          <w:rFonts w:ascii="Times New Roman" w:hAnsi="Times New Roman"/>
          <w:sz w:val="24"/>
        </w:rPr>
      </w:r>
      <w:r>
        <w:rPr>
          <w:rFonts w:ascii="Times New Roman" w:hAnsi="Times New Roman"/>
          <w:b/>
          <w:sz w:val="24"/>
        </w:rPr>
        <w:t>Dual-judge reliability.</w:t>
      </w:r>
      <w:r>
        <w:rPr>
          <w:rFonts w:ascii="Times New Roman" w:hAnsi="Times New Roman"/>
          <w:sz w:val="24"/>
        </w:rPr>
        <w:t xml:space="preserve"> All 198 LLM-rubric items × 11 models were rescored by a second judge (deepseek-chat) yielding </w:t>
      </w:r>
      <w:r>
        <w:rPr>
          <w:rFonts w:ascii="Times New Roman" w:hAnsi="Times New Roman"/>
          <w:b/>
          <w:sz w:val="24"/>
        </w:rPr>
        <w:t>n = 2,177</w:t>
      </w:r>
      <w:r>
        <w:rPr>
          <w:rFonts w:ascii="Times New Roman" w:hAnsi="Times New Roman"/>
          <w:sz w:val="24"/>
        </w:rPr>
        <w:t xml:space="preserve"> paired scores. We report Pearson *r*, Spearman ρ, mean absolute difference, and agreement within ±0.15, overall and by task (GEN/CUL/PED).</w:t>
      </w:r>
    </w:p>
    <w:p>
      <w:r>
        <w:rPr>
          <w:rFonts w:ascii="Times New Roman" w:hAnsi="Times New Roman"/>
          <w:b/>
          <w:sz w:val="24"/>
        </w:rPr>
        <w:t>3.5A Procedure timeline and quality controls</w:t>
      </w:r>
    </w:p>
    <w:p>
      <w:pPr>
        <w:spacing w:line="480" w:lineRule="auto"/>
        <w:ind w:firstLine="720"/>
      </w:pPr>
      <w:r>
        <w:rPr>
          <w:rFonts w:ascii="Times New Roman" w:hAnsi="Times New Roman"/>
          <w:sz w:val="24"/>
        </w:rPr>
        <w:t>The multimodel run proceeded in four stages: (1) item freeze and scorer freeze for v1.0; (2) closed-book inference across 11 free/light endpoints with structured logging of raw outputs; (3) automatic scoring plus LLM-rubric scoring; (4) full second-judge pass and aggregate compilation into `multimodel_summary.json`, `stats_ci.json`, `analysis_metrics.json`, and `judge_reliability_full_summary.json`.</w:t>
      </w:r>
    </w:p>
    <w:p>
      <w:pPr>
        <w:spacing w:line="480" w:lineRule="auto"/>
        <w:ind w:firstLine="720"/>
      </w:pPr>
      <w:r>
        <w:rPr>
          <w:rFonts w:ascii="Times New Roman" w:hAnsi="Times New Roman"/>
          <w:sz w:val="24"/>
        </w:rPr>
        <w:t>Quality controls included schema validation for outputs, deterministic automatic scorers for closed items, explicit disclosure of same-family judging risk, and public deposit of aggregates for third-party recalculation. Items linked to licensed corpus text were scored in authorized environments and contributed only aggregates to the public record.</w:t>
      </w:r>
    </w:p>
    <w:p>
      <w:pPr>
        <w:spacing w:line="480" w:lineRule="auto"/>
        <w:ind w:firstLine="720"/>
      </w:pPr>
      <w:r>
        <w:rPr>
          <w:rFonts w:ascii="Times New Roman" w:hAnsi="Times New Roman"/>
          <w:sz w:val="24"/>
        </w:rPr>
        <w:t>Prompt templates were held constant across models for fairness. No model-specific prompt engineering was permitted in the primary comparison because the scientific target is ecological baseline mechanisms, not maximized leaderboard scores. This choice likely *underestimates* best-case performance after heavy prompt optimization; it more accurately estimates what educational users obtain from default access.</w:t>
      </w:r>
    </w:p>
    <w:p>
      <w:r>
        <w:rPr>
          <w:rFonts w:ascii="Times New Roman" w:hAnsi="Times New Roman"/>
          <w:b/>
          <w:sz w:val="24"/>
        </w:rPr>
        <w:t>3.5B Why equal weights implement a psychological contrast</w:t>
      </w:r>
    </w:p>
    <w:p>
      <w:pPr>
        <w:spacing w:line="480" w:lineRule="auto"/>
        <w:ind w:firstLine="720"/>
      </w:pPr>
      <w:r>
        <w:rPr>
          <w:rFonts w:ascii="Times New Roman" w:hAnsi="Times New Roman"/>
          <w:sz w:val="24"/>
        </w:rPr>
        <w:t>From a measurement perspective, unequal weights tied to item counts would let KNO (*n* ≈ 400) dominate the total and would statistically bury CUL (*n* ≈ 78). That would produce a “knowledge-heavy” composite misaligned with the mechanism questions of this Research Topic. Equal weighting implements a planned contrast among mechanism families: each family contributes one-sixth of the composite, analogous to forming a profile score across subscales rather than a length-weighted sum. Profile interpretation—not composite maximization—is the intended cognitive reading.</w:t>
      </w:r>
    </w:p>
    <w:p>
      <w:r>
        <w:rPr>
          <w:rFonts w:ascii="Times New Roman" w:hAnsi="Times New Roman"/>
          <w:b/>
          <w:sz w:val="24"/>
        </w:rPr>
        <w:t>3.5C Subtask sampling notes</w:t>
      </w:r>
    </w:p>
    <w:p>
      <w:pPr>
        <w:spacing w:line="480" w:lineRule="auto"/>
        <w:ind w:firstLine="720"/>
      </w:pPr>
      <w:r>
        <w:rPr>
          <w:rFonts w:ascii="Times New Roman" w:hAnsi="Times New Roman"/>
          <w:sz w:val="24"/>
        </w:rPr>
        <w:t>Level-controlled rewrite uses 120 items spanning multiple target grades; locate uses a focused clause-identification set derived from textbook-standard evaluation criteria; SCO uses 250 human-labeled essays after minor missingness filters documented in aggregates. These sample sizes are adequate for detecting large mechanism effects (e.g., rewrite near floor vs CUL near ceiling) but not for fine-grained item-response modeling of every grade band. Bootstrap CIs in `stats_ci.json` communicate task-level uncertainty for leading systems.</w:t>
      </w:r>
    </w:p>
    <w:p>
      <w:r>
        <w:rPr>
          <w:rFonts w:ascii="Times New Roman" w:hAnsi="Times New Roman"/>
          <w:b/>
          <w:sz w:val="24"/>
        </w:rPr>
        <w:t>3.6 Mechanism coding (analytic lens)</w:t>
      </w:r>
    </w:p>
    <w:p>
      <w:pPr>
        <w:spacing w:line="480" w:lineRule="auto"/>
        <w:ind w:firstLine="720"/>
      </w:pPr>
      <w:r>
        <w:rPr>
          <w:rFonts w:ascii="Times New Roman" w:hAnsi="Times New Roman"/>
          <w:sz w:val="24"/>
        </w:rPr>
        <w:t>After primary scoring, we coded tasks into mechanism families *a priori* (Table in Section 2.8) and inspected whether empirical highs/lows respected that coding. This is a descriptive theory check, not a latent-variable SEM. The claim is modest: if constraint-satisfaction tasks collapse while pragmatic mediation is high, a unitary competence interpretation is less plausible than a dissociable-mechanism interpretation.</w:t>
      </w:r>
    </w:p>
    <w:p>
      <w:r>
        <w:rPr>
          <w:rFonts w:ascii="Times New Roman" w:hAnsi="Times New Roman"/>
          <w:b/>
          <w:sz w:val="24"/>
        </w:rPr>
        <w:t>3.7 Ethics, data, and reproducibility</w:t>
      </w:r>
    </w:p>
    <w:p>
      <w:pPr>
        <w:spacing w:line="480" w:lineRule="auto"/>
        <w:ind w:firstLine="720"/>
      </w:pPr>
      <w:r>
        <w:rPr>
          <w:rFonts w:ascii="Times New Roman" w:hAnsi="Times New Roman"/>
          <w:sz w:val="24"/>
        </w:rPr>
        <w:t>Human essay labels are secondary analysis of authorized HSK Dynamic Composition Corpus materials; no new learner recruitment was conducted for the primary multimodel run. Public items and machine-readable aggregates are available at https://github.com/yudongxing999/cc-eval. Licensed stems are not redistributed. No personally identifying learner metadata are released. The study evaluates models as educational tools; it does not claim clinical or high-stakes placement readiness.</w:t>
      </w:r>
    </w:p>
    <w:p>
      <w:r>
        <w:rPr>
          <w:rFonts w:ascii="Times New Roman" w:hAnsi="Times New Roman"/>
          <w:b/>
          <w:sz w:val="28"/>
        </w:rPr>
        <w:t>4. Results</w:t>
      </w:r>
    </w:p>
    <w:p>
      <w:r>
        <w:rPr>
          <w:rFonts w:ascii="Times New Roman" w:hAnsi="Times New Roman"/>
          <w:b/>
          <w:sz w:val="24"/>
        </w:rPr>
        <w:t>4.1 RQ1: Overall profile under equal-weight aggregation</w:t>
      </w:r>
    </w:p>
    <w:p>
      <w:pPr>
        <w:spacing w:line="480" w:lineRule="auto"/>
        <w:ind w:firstLine="720"/>
      </w:pPr>
      <w:r>
        <w:rPr>
          <w:rFonts w:ascii="Times New Roman" w:hAnsi="Times New Roman"/>
          <w:sz w:val="24"/>
        </w:rPr>
        <w:t xml:space="preserve">Equal-weight totals for the 11 free/light-tier models ranged from </w:t>
      </w:r>
      <w:r>
        <w:rPr>
          <w:rFonts w:ascii="Times New Roman" w:hAnsi="Times New Roman"/>
          <w:b/>
          <w:sz w:val="24"/>
        </w:rPr>
        <w:t>33.4 to 46.7</w:t>
      </w:r>
      <w:r>
        <w:rPr>
          <w:rFonts w:ascii="Times New Roman" w:hAnsi="Times New Roman"/>
          <w:sz w:val="24"/>
        </w:rPr>
        <w:t xml:space="preserve"> (span ≈ 13.3 points). The leading profile (k3-agent) reached 46.7; several mid-pack models clustered near the high 30s to low 40s; the lowest (zhipu glm-4-flash tier in this run) was 33.4. Absolute totals remain below 50 under equal weighting—already a warning against treating free/light LLMs as general-purpose TCSoL teaching agents.</w:t>
      </w:r>
    </w:p>
    <w:p>
      <w:pPr>
        <w:spacing w:line="480" w:lineRule="auto"/>
        <w:ind w:firstLine="720"/>
      </w:pPr>
      <w:r>
        <w:rPr>
          <w:rFonts w:ascii="Times New Roman" w:hAnsi="Times New Roman"/>
          <w:sz w:val="24"/>
        </w:rPr>
        <w:t xml:space="preserve">*Interpretation.* The between-model span is educationally meaningful but smaller than the </w:t>
      </w:r>
      <w:r>
        <w:rPr>
          <w:rFonts w:ascii="Times New Roman" w:hAnsi="Times New Roman"/>
          <w:b/>
          <w:sz w:val="24"/>
        </w:rPr>
        <w:t>within-model task span</w:t>
      </w:r>
      <w:r>
        <w:rPr>
          <w:rFonts w:ascii="Times New Roman" w:hAnsi="Times New Roman"/>
          <w:sz w:val="24"/>
        </w:rPr>
        <w:t xml:space="preserve"> reported below. Mechanism dissociation dominates brand ordering.</w:t>
      </w:r>
    </w:p>
    <w:p>
      <w:r>
        <w:rPr>
          <w:rFonts w:ascii="Times New Roman" w:hAnsi="Times New Roman"/>
          <w:b/>
          <w:sz w:val="24"/>
        </w:rPr>
        <w:t>4.2 RQ2: Task stratification and mechanism dissociation</w:t>
      </w:r>
    </w:p>
    <w:p>
      <w:pPr>
        <w:spacing w:line="480" w:lineRule="auto"/>
        <w:ind w:firstLine="720"/>
      </w:pPr>
      <w:r>
        <w:rPr>
          <w:rFonts w:ascii="Times New Roman" w:hAnsi="Times New Roman"/>
          <w:sz w:val="24"/>
        </w:rPr>
        <w:t>Task bands were sharply stratified across all models:</w:t>
      </w:r>
    </w:p>
    <w:p>
      <w:pPr>
        <w:spacing w:line="480" w:lineRule="auto"/>
        <w:ind w:firstLine="720"/>
      </w:pPr>
      <w:r>
        <w:rPr>
          <w:rFonts w:ascii="Times New Roman" w:hAnsi="Times New Roman"/>
          <w:sz w:val="24"/>
        </w:rPr>
      </w:r>
      <w:r>
        <w:rPr>
          <w:rFonts w:ascii="Times New Roman" w:hAnsi="Times New Roman"/>
          <w:b/>
          <w:sz w:val="24"/>
        </w:rPr>
        <w:t>Culture/pragmatics (CUL).</w:t>
      </w:r>
      <w:r>
        <w:rPr>
          <w:rFonts w:ascii="Times New Roman" w:hAnsi="Times New Roman"/>
          <w:sz w:val="24"/>
        </w:rPr>
        <w:t xml:space="preserve"> High across the board (</w:t>
      </w:r>
      <w:r>
        <w:rPr>
          <w:rFonts w:ascii="Times New Roman" w:hAnsi="Times New Roman"/>
          <w:b/>
          <w:sz w:val="24"/>
        </w:rPr>
        <w:t>70.5–94.9</w:t>
      </w:r>
      <w:r>
        <w:rPr>
          <w:rFonts w:ascii="Times New Roman" w:hAnsi="Times New Roman"/>
          <w:sz w:val="24"/>
        </w:rPr>
        <w:t>). This is the strongest free/light band in CC-Eval.</w:t>
      </w:r>
    </w:p>
    <w:p>
      <w:pPr>
        <w:spacing w:line="480" w:lineRule="auto"/>
        <w:ind w:firstLine="720"/>
      </w:pPr>
      <w:r>
        <w:rPr>
          <w:rFonts w:ascii="Times New Roman" w:hAnsi="Times New Roman"/>
          <w:sz w:val="24"/>
        </w:rPr>
      </w:r>
      <w:r>
        <w:rPr>
          <w:rFonts w:ascii="Times New Roman" w:hAnsi="Times New Roman"/>
          <w:b/>
          <w:sz w:val="24"/>
        </w:rPr>
        <w:t>Essay scoring (SCO).</w:t>
      </w:r>
      <w:r>
        <w:rPr>
          <w:rFonts w:ascii="Times New Roman" w:hAnsi="Times New Roman"/>
          <w:sz w:val="24"/>
        </w:rPr>
        <w:t xml:space="preserve"> Selected models reached comparatively high assistive bands (e.g., k3-agent 78.6; ernie 76.8; deepseek 75.8; qwen/zhipu 74.2), while others lagged substantially (e.g., doubao 44.4; hunyuan 48.6). Brand prestige did not monotonically predict scoring alignment.</w:t>
      </w:r>
    </w:p>
    <w:p>
      <w:pPr>
        <w:spacing w:line="480" w:lineRule="auto"/>
        <w:ind w:firstLine="720"/>
      </w:pPr>
      <w:r>
        <w:rPr>
          <w:rFonts w:ascii="Times New Roman" w:hAnsi="Times New Roman"/>
          <w:sz w:val="24"/>
        </w:rPr>
      </w:r>
      <w:r>
        <w:rPr>
          <w:rFonts w:ascii="Times New Roman" w:hAnsi="Times New Roman"/>
          <w:b/>
          <w:sz w:val="24"/>
        </w:rPr>
        <w:t>Error diagnosis (ERR).</w:t>
      </w:r>
      <w:r>
        <w:rPr>
          <w:rFonts w:ascii="Times New Roman" w:hAnsi="Times New Roman"/>
          <w:sz w:val="24"/>
        </w:rPr>
        <w:t xml:space="preserve"> Mid-low (</w:t>
      </w:r>
      <w:r>
        <w:rPr>
          <w:rFonts w:ascii="Times New Roman" w:hAnsi="Times New Roman"/>
          <w:b/>
          <w:sz w:val="24"/>
        </w:rPr>
        <w:t>21.5–36.1</w:t>
      </w:r>
      <w:r>
        <w:rPr>
          <w:rFonts w:ascii="Times New Roman" w:hAnsi="Times New Roman"/>
          <w:sz w:val="24"/>
        </w:rPr>
        <w:t>). Best free/light values remain far from autonomous diagnostic trust.</w:t>
      </w:r>
    </w:p>
    <w:p>
      <w:pPr>
        <w:spacing w:line="480" w:lineRule="auto"/>
        <w:ind w:firstLine="720"/>
      </w:pPr>
      <w:r>
        <w:rPr>
          <w:rFonts w:ascii="Times New Roman" w:hAnsi="Times New Roman"/>
          <w:sz w:val="24"/>
        </w:rPr>
      </w:r>
      <w:r>
        <w:rPr>
          <w:rFonts w:ascii="Times New Roman" w:hAnsi="Times New Roman"/>
          <w:b/>
          <w:sz w:val="24"/>
        </w:rPr>
        <w:t>Grade knowledge (KNO).</w:t>
      </w:r>
      <w:r>
        <w:rPr>
          <w:rFonts w:ascii="Times New Roman" w:hAnsi="Times New Roman"/>
          <w:sz w:val="24"/>
        </w:rPr>
        <w:t xml:space="preserve"> Weak (</w:t>
      </w:r>
      <w:r>
        <w:rPr>
          <w:rFonts w:ascii="Times New Roman" w:hAnsi="Times New Roman"/>
          <w:b/>
          <w:sz w:val="24"/>
        </w:rPr>
        <w:t>12.0–35.2</w:t>
      </w:r>
      <w:r>
        <w:rPr>
          <w:rFonts w:ascii="Times New Roman" w:hAnsi="Times New Roman"/>
          <w:sz w:val="24"/>
        </w:rPr>
        <w:t>). Even the best model (deepseek 35.2) leaves grade decisions unreliable under closed-book conditions; some models approach chance-like floors.</w:t>
      </w:r>
    </w:p>
    <w:p>
      <w:pPr>
        <w:spacing w:line="480" w:lineRule="auto"/>
        <w:ind w:firstLine="720"/>
      </w:pPr>
      <w:r>
        <w:rPr>
          <w:rFonts w:ascii="Times New Roman" w:hAnsi="Times New Roman"/>
          <w:sz w:val="24"/>
        </w:rPr>
      </w:r>
      <w:r>
        <w:rPr>
          <w:rFonts w:ascii="Times New Roman" w:hAnsi="Times New Roman"/>
          <w:b/>
          <w:sz w:val="24"/>
        </w:rPr>
        <w:t>Teaching generation (GEN) overall.</w:t>
      </w:r>
      <w:r>
        <w:rPr>
          <w:rFonts w:ascii="Times New Roman" w:hAnsi="Times New Roman"/>
          <w:sz w:val="24"/>
        </w:rPr>
        <w:t xml:space="preserve"> Mid (</w:t>
      </w:r>
      <w:r>
        <w:rPr>
          <w:rFonts w:ascii="Times New Roman" w:hAnsi="Times New Roman"/>
          <w:b/>
          <w:sz w:val="24"/>
        </w:rPr>
        <w:t>31.4–59.7</w:t>
      </w:r>
      <w:r>
        <w:rPr>
          <w:rFonts w:ascii="Times New Roman" w:hAnsi="Times New Roman"/>
          <w:sz w:val="24"/>
        </w:rPr>
        <w:t>), but this average hides a catastrophic subtask failure (below).</w:t>
      </w:r>
    </w:p>
    <w:p>
      <w:pPr>
        <w:spacing w:line="480" w:lineRule="auto"/>
        <w:ind w:firstLine="720"/>
      </w:pPr>
      <w:r>
        <w:rPr>
          <w:rFonts w:ascii="Times New Roman" w:hAnsi="Times New Roman"/>
          <w:sz w:val="24"/>
        </w:rPr>
      </w:r>
      <w:r>
        <w:rPr>
          <w:rFonts w:ascii="Times New Roman" w:hAnsi="Times New Roman"/>
          <w:b/>
          <w:sz w:val="24"/>
        </w:rPr>
        <w:t>Standards/pedagogy (PED) overall.</w:t>
      </w:r>
      <w:r>
        <w:rPr>
          <w:rFonts w:ascii="Times New Roman" w:hAnsi="Times New Roman"/>
          <w:sz w:val="24"/>
        </w:rPr>
        <w:t xml:space="preserve"> Mid (</w:t>
      </w:r>
      <w:r>
        <w:rPr>
          <w:rFonts w:ascii="Times New Roman" w:hAnsi="Times New Roman"/>
          <w:b/>
          <w:sz w:val="24"/>
        </w:rPr>
        <w:t>37.1–45.0</w:t>
      </w:r>
      <w:r>
        <w:rPr>
          <w:rFonts w:ascii="Times New Roman" w:hAnsi="Times New Roman"/>
          <w:sz w:val="24"/>
        </w:rPr>
        <w:t>), likewise hiding a near-floor locate subtask and a near-ceiling scenario-draft subtask.</w:t>
      </w:r>
    </w:p>
    <w:p>
      <w:r>
        <w:rPr>
          <w:rFonts w:ascii="Times New Roman" w:hAnsi="Times New Roman"/>
          <w:b/>
          <w:sz w:val="24"/>
        </w:rPr>
        <w:t>4.2.1 Critical subtask: level-controlled rewrite (constraint satisfaction)</w:t>
      </w:r>
    </w:p>
    <w:p>
      <w:pPr>
        <w:spacing w:line="480" w:lineRule="auto"/>
        <w:ind w:firstLine="720"/>
      </w:pPr>
      <w:r>
        <w:rPr>
          <w:rFonts w:ascii="Times New Roman" w:hAnsi="Times New Roman"/>
          <w:sz w:val="24"/>
        </w:rPr>
        <w:t xml:space="preserve">On `gen.level_controlled_rewrite` (*n* = 120), pass rates were </w:t>
      </w:r>
      <w:r>
        <w:rPr>
          <w:rFonts w:ascii="Times New Roman" w:hAnsi="Times New Roman"/>
          <w:b/>
          <w:sz w:val="24"/>
        </w:rPr>
        <w:t>≤15.0%</w:t>
      </w:r>
      <w:r>
        <w:rPr>
          <w:rFonts w:ascii="Times New Roman" w:hAnsi="Times New Roman"/>
          <w:sz w:val="24"/>
        </w:rPr>
        <w:t xml:space="preserve"> even for the best model (hunyuan 15.0%); several models were near 0–2%. Mean OOV rates relative to grade tables commonly landed in double digits (repository `analysis_metrics.json`), confirming that fluent rewrites routinely leak out-of-grade vocabulary.</w:t>
      </w:r>
    </w:p>
    <w:p>
      <w:pPr>
        <w:spacing w:line="480" w:lineRule="auto"/>
        <w:ind w:firstLine="720"/>
      </w:pPr>
      <w:r>
        <w:rPr>
          <w:rFonts w:ascii="Times New Roman" w:hAnsi="Times New Roman"/>
          <w:sz w:val="24"/>
        </w:rPr>
        <w:t>*Interpretation.* This is the clearest constraint-satisfaction collapse in the fingerprint: models can produce readable Chinese while failing the educational validity criterion that defines graded materials.</w:t>
      </w:r>
    </w:p>
    <w:p>
      <w:r>
        <w:rPr>
          <w:rFonts w:ascii="Times New Roman" w:hAnsi="Times New Roman"/>
          <w:b/>
          <w:sz w:val="24"/>
        </w:rPr>
        <w:t>4.2.2 Critical subtask: textbook-standard clause locating (standards-operational literacy)</w:t>
      </w:r>
    </w:p>
    <w:p>
      <w:pPr>
        <w:spacing w:line="480" w:lineRule="auto"/>
        <w:ind w:firstLine="720"/>
      </w:pPr>
      <w:r>
        <w:rPr>
          <w:rFonts w:ascii="Times New Roman" w:hAnsi="Times New Roman"/>
          <w:sz w:val="24"/>
        </w:rPr>
        <w:t xml:space="preserve">On `ped.textbook_std_locate`, accuracy peaked at </w:t>
      </w:r>
      <w:r>
        <w:rPr>
          <w:rFonts w:ascii="Times New Roman" w:hAnsi="Times New Roman"/>
          <w:b/>
          <w:sz w:val="24"/>
        </w:rPr>
        <w:t>8.9%</w:t>
      </w:r>
      <w:r>
        <w:rPr>
          <w:rFonts w:ascii="Times New Roman" w:hAnsi="Times New Roman"/>
          <w:sz w:val="24"/>
        </w:rPr>
        <w:t xml:space="preserve"> (qwen); multiple models scored 0%. In contrast, vocational scenario design items under LLM-rubric scoring were near ceiling (≈98–100% in the multimodel report).</w:t>
      </w:r>
    </w:p>
    <w:p>
      <w:pPr>
        <w:spacing w:line="480" w:lineRule="auto"/>
        <w:ind w:firstLine="720"/>
      </w:pPr>
      <w:r>
        <w:rPr>
          <w:rFonts w:ascii="Times New Roman" w:hAnsi="Times New Roman"/>
          <w:sz w:val="24"/>
        </w:rPr>
        <w:t>*Interpretation.* Generative pedagogical fluency and standards-clause literacy dissociate. Models can draft scenario lessons that *look* teachable while failing to identify which standards clause a textbook excerpt violates.</w:t>
      </w:r>
    </w:p>
    <w:p>
      <w:r>
        <w:rPr>
          <w:rFonts w:ascii="Times New Roman" w:hAnsi="Times New Roman"/>
          <w:b/>
          <w:sz w:val="24"/>
        </w:rPr>
        <w:t>4.2.3 Pattern summary (mechanism fingerprint)</w:t>
      </w:r>
    </w:p>
    <w:p>
      <w:pPr>
        <w:spacing w:line="480" w:lineRule="auto"/>
        <w:ind w:firstLine="720"/>
      </w:pPr>
      <w:r>
        <w:rPr>
          <w:rFonts w:ascii="Times New Roman" w:hAnsi="Times New Roman"/>
          <w:sz w:val="24"/>
        </w:rPr>
        <w:t>Across models, the recurring fingerprint is:</w:t>
      </w:r>
    </w:p>
    <w:p>
      <w:pPr>
        <w:spacing w:line="480" w:lineRule="auto"/>
        <w:ind w:firstLine="720"/>
      </w:pPr>
      <w:r>
        <w:rPr>
          <w:rFonts w:ascii="Times New Roman" w:hAnsi="Times New Roman"/>
          <w:sz w:val="24"/>
        </w:rPr>
        <w:t>- High: pragmatic/cultural mediation (CUL)</w:t>
      </w:r>
    </w:p>
    <w:p>
      <w:pPr>
        <w:spacing w:line="480" w:lineRule="auto"/>
        <w:ind w:firstLine="720"/>
      </w:pPr>
      <w:r>
        <w:rPr>
          <w:rFonts w:ascii="Times New Roman" w:hAnsi="Times New Roman"/>
          <w:sz w:val="24"/>
        </w:rPr>
        <w:t>- Selective mid-to-high: evaluative scoring (SCO) for some models only</w:t>
      </w:r>
    </w:p>
    <w:p>
      <w:pPr>
        <w:spacing w:line="480" w:lineRule="auto"/>
        <w:ind w:firstLine="720"/>
      </w:pPr>
      <w:r>
        <w:rPr>
          <w:rFonts w:ascii="Times New Roman" w:hAnsi="Times New Roman"/>
          <w:sz w:val="24"/>
        </w:rPr>
        <w:t>- Mid-low: error attribution (ERR)</w:t>
      </w:r>
    </w:p>
    <w:p>
      <w:pPr>
        <w:spacing w:line="480" w:lineRule="auto"/>
        <w:ind w:firstLine="720"/>
      </w:pPr>
      <w:r>
        <w:rPr>
          <w:rFonts w:ascii="Times New Roman" w:hAnsi="Times New Roman"/>
          <w:sz w:val="24"/>
        </w:rPr>
        <w:t>- Low: parametric grade memory (KNO)</w:t>
      </w:r>
    </w:p>
    <w:p>
      <w:pPr>
        <w:spacing w:line="480" w:lineRule="auto"/>
        <w:ind w:firstLine="720"/>
      </w:pPr>
      <w:r>
        <w:rPr>
          <w:rFonts w:ascii="Times New Roman" w:hAnsi="Times New Roman"/>
          <w:sz w:val="24"/>
        </w:rPr>
        <w:t>- Systemic failure: hard constraint rewrite (GEN rewrite); clause locating (PED locate)</w:t>
      </w:r>
    </w:p>
    <w:p>
      <w:pPr>
        <w:spacing w:line="480" w:lineRule="auto"/>
        <w:ind w:firstLine="720"/>
      </w:pPr>
      <w:r>
        <w:rPr>
          <w:rFonts w:ascii="Times New Roman" w:hAnsi="Times New Roman"/>
          <w:sz w:val="24"/>
        </w:rPr>
        <w:t>- Preserved fluency: scenario drafting (PED scenario)</w:t>
      </w:r>
    </w:p>
    <w:p>
      <w:pPr>
        <w:spacing w:line="480" w:lineRule="auto"/>
        <w:ind w:firstLine="720"/>
      </w:pPr>
      <w:r>
        <w:rPr>
          <w:rFonts w:ascii="Times New Roman" w:hAnsi="Times New Roman"/>
          <w:sz w:val="24"/>
        </w:rPr>
        <w:t xml:space="preserve">This is a </w:t>
      </w:r>
      <w:r>
        <w:rPr>
          <w:rFonts w:ascii="Times New Roman" w:hAnsi="Times New Roman"/>
          <w:b/>
          <w:sz w:val="24"/>
        </w:rPr>
        <w:t>dissociation profile</w:t>
      </w:r>
      <w:r>
        <w:rPr>
          <w:rFonts w:ascii="Times New Roman" w:hAnsi="Times New Roman"/>
          <w:sz w:val="24"/>
        </w:rPr>
        <w:t>, not a uniform competence ladder.</w:t>
      </w:r>
    </w:p>
    <w:p>
      <w:r>
        <w:rPr>
          <w:rFonts w:ascii="Times New Roman" w:hAnsi="Times New Roman"/>
          <w:b/>
          <w:sz w:val="24"/>
        </w:rPr>
        <w:t>4.3 RQ3: Process diagnostics for scoring and generation</w:t>
      </w:r>
    </w:p>
    <w:p>
      <w:r>
        <w:rPr>
          <w:rFonts w:ascii="Times New Roman" w:hAnsi="Times New Roman"/>
          <w:b/>
          <w:sz w:val="24"/>
        </w:rPr>
        <w:t>4.3.1 SCO association, bias, and compression</w:t>
      </w:r>
    </w:p>
    <w:p>
      <w:pPr>
        <w:spacing w:line="480" w:lineRule="auto"/>
        <w:ind w:firstLine="720"/>
      </w:pPr>
      <w:r>
        <w:rPr>
          <w:rFonts w:ascii="Times New Roman" w:hAnsi="Times New Roman"/>
          <w:sz w:val="24"/>
        </w:rPr>
        <w:t xml:space="preserve">On HSK Dynamic Composition Corpus labels (*n* ≈ 250), Pearson *r* with human scores ranged from about </w:t>
      </w:r>
      <w:r>
        <w:rPr>
          <w:rFonts w:ascii="Times New Roman" w:hAnsi="Times New Roman"/>
          <w:b/>
          <w:sz w:val="24"/>
        </w:rPr>
        <w:t>0.41 to 0.64</w:t>
      </w:r>
      <w:r>
        <w:rPr>
          <w:rFonts w:ascii="Times New Roman" w:hAnsi="Times New Roman"/>
          <w:sz w:val="24"/>
        </w:rPr>
        <w:t xml:space="preserve"> across models (e.g., hunyuan *r* = 0.644; k3-agent *r* = 0.635; zhipu *r* = 0.405). Spearman ρ was typically similar or slightly higher. QWK (10-point) ranged from about </w:t>
      </w:r>
      <w:r>
        <w:rPr>
          <w:rFonts w:ascii="Times New Roman" w:hAnsi="Times New Roman"/>
          <w:b/>
          <w:sz w:val="24"/>
        </w:rPr>
        <w:t>0.33 to 0.56</w:t>
      </w:r>
      <w:r>
        <w:rPr>
          <w:rFonts w:ascii="Times New Roman" w:hAnsi="Times New Roman"/>
          <w:sz w:val="24"/>
        </w:rPr>
        <w:t>. Predicted means revealed systematic bias: several models under-scored on average (e.g., hunyuan predicted mean 55.1 vs gold 71.6; doubao 53.2 vs 71.6), while qwen slightly over-scored (76.8 vs 71.6).</w:t>
      </w:r>
    </w:p>
    <w:p>
      <w:pPr>
        <w:spacing w:line="480" w:lineRule="auto"/>
        <w:ind w:firstLine="720"/>
      </w:pPr>
      <w:r>
        <w:rPr>
          <w:rFonts w:ascii="Times New Roman" w:hAnsi="Times New Roman"/>
          <w:sz w:val="24"/>
        </w:rPr>
        <w:t>*Interpretation.* Even when rank association is moderate, bias can make raw score numbers educationally unsafe. Argument-based validation requires reading association *and* bias *and* intended use together. A model with decent *r* but large negative bias is a different cognitive-educational object from a calibrated assistive ranker.</w:t>
      </w:r>
    </w:p>
    <w:p>
      <w:r>
        <w:rPr>
          <w:rFonts w:ascii="Times New Roman" w:hAnsi="Times New Roman"/>
          <w:b/>
          <w:sz w:val="24"/>
        </w:rPr>
        <w:t>4.3.2 GEN OOV and rewrite</w:t>
      </w:r>
    </w:p>
    <w:p>
      <w:pPr>
        <w:spacing w:line="480" w:lineRule="auto"/>
        <w:ind w:firstLine="720"/>
      </w:pPr>
      <w:r>
        <w:rPr>
          <w:rFonts w:ascii="Times New Roman" w:hAnsi="Times New Roman"/>
          <w:sz w:val="24"/>
        </w:rPr>
        <w:t xml:space="preserve">Mean OOV percentages for constrained generation were often high (commonly ~9–23% depending on model), with medians sometimes lower—indicating a skewed violation pattern (many mild leaks plus some severe leaks). Combined with rewrite pass ≤15%, the process diagnosis is unambiguous: </w:t>
      </w:r>
      <w:r>
        <w:rPr>
          <w:rFonts w:ascii="Times New Roman" w:hAnsi="Times New Roman"/>
          <w:b/>
          <w:sz w:val="24"/>
        </w:rPr>
        <w:t>constraint checking is not an emergent free/light skill</w:t>
      </w:r>
      <w:r>
        <w:rPr>
          <w:rFonts w:ascii="Times New Roman" w:hAnsi="Times New Roman"/>
          <w:sz w:val="24"/>
        </w:rPr>
        <w:t>.</w:t>
      </w:r>
    </w:p>
    <w:p>
      <w:r>
        <w:rPr>
          <w:rFonts w:ascii="Times New Roman" w:hAnsi="Times New Roman"/>
          <w:b/>
          <w:sz w:val="24"/>
        </w:rPr>
        <w:t>4.4 RQ4: Measurement trust</w:t>
      </w:r>
    </w:p>
    <w:p>
      <w:pPr>
        <w:spacing w:line="480" w:lineRule="auto"/>
        <w:ind w:firstLine="720"/>
      </w:pPr>
      <w:r>
        <w:rPr>
          <w:rFonts w:ascii="Times New Roman" w:hAnsi="Times New Roman"/>
          <w:sz w:val="24"/>
        </w:rPr>
        <w:t>Automatic scorers cover 1,357 items; LLM-rubric scoring covers 198. The full second-judge pass (</w:t>
      </w:r>
      <w:r>
        <w:rPr>
          <w:rFonts w:ascii="Times New Roman" w:hAnsi="Times New Roman"/>
          <w:b/>
          <w:sz w:val="24"/>
        </w:rPr>
        <w:t>n = 2,177</w:t>
      </w:r>
      <w:r>
        <w:rPr>
          <w:rFonts w:ascii="Times New Roman" w:hAnsi="Times New Roman"/>
          <w:sz w:val="24"/>
        </w:rPr>
        <w:t xml:space="preserve">) found moderate overall agreement (Pearson *r* = </w:t>
      </w:r>
      <w:r>
        <w:rPr>
          <w:rFonts w:ascii="Times New Roman" w:hAnsi="Times New Roman"/>
          <w:b/>
          <w:sz w:val="24"/>
        </w:rPr>
        <w:t>0.656</w:t>
      </w:r>
      <w:r>
        <w:rPr>
          <w:rFonts w:ascii="Times New Roman" w:hAnsi="Times New Roman"/>
          <w:sz w:val="24"/>
        </w:rPr>
        <w:t xml:space="preserve">; Spearman ρ = </w:t>
      </w:r>
      <w:r>
        <w:rPr>
          <w:rFonts w:ascii="Times New Roman" w:hAnsi="Times New Roman"/>
          <w:b/>
          <w:sz w:val="24"/>
        </w:rPr>
        <w:t>0.642</w:t>
      </w:r>
      <w:r>
        <w:rPr>
          <w:rFonts w:ascii="Times New Roman" w:hAnsi="Times New Roman"/>
          <w:sz w:val="24"/>
        </w:rPr>
        <w:t xml:space="preserve">; agreement within ±0.15 = </w:t>
      </w:r>
      <w:r>
        <w:rPr>
          <w:rFonts w:ascii="Times New Roman" w:hAnsi="Times New Roman"/>
          <w:b/>
          <w:sz w:val="24"/>
        </w:rPr>
        <w:t>0.794</w:t>
      </w:r>
      <w:r>
        <w:rPr>
          <w:rFonts w:ascii="Times New Roman" w:hAnsi="Times New Roman"/>
          <w:sz w:val="24"/>
        </w:rPr>
        <w:t xml:space="preserve">; mean absolute difference ≈ 0.081). By task, pedagogy showed higher linear association (*r* = </w:t>
      </w:r>
      <w:r>
        <w:rPr>
          <w:rFonts w:ascii="Times New Roman" w:hAnsi="Times New Roman"/>
          <w:b/>
          <w:sz w:val="24"/>
        </w:rPr>
        <w:t>0.663</w:t>
      </w:r>
      <w:r>
        <w:rPr>
          <w:rFonts w:ascii="Times New Roman" w:hAnsi="Times New Roman"/>
          <w:sz w:val="24"/>
        </w:rPr>
        <w:t xml:space="preserve">) and very high absolute agreement within ±0.15 (0.958), whereas open-ended culture pragmatics showed lower linear association (*r* = </w:t>
      </w:r>
      <w:r>
        <w:rPr>
          <w:rFonts w:ascii="Times New Roman" w:hAnsi="Times New Roman"/>
          <w:b/>
          <w:sz w:val="24"/>
        </w:rPr>
        <w:t>0.522</w:t>
      </w:r>
      <w:r>
        <w:rPr>
          <w:rFonts w:ascii="Times New Roman" w:hAnsi="Times New Roman"/>
          <w:sz w:val="24"/>
        </w:rPr>
        <w:t xml:space="preserve">). Generation rubrics were intermediate (*r* = </w:t>
      </w:r>
      <w:r>
        <w:rPr>
          <w:rFonts w:ascii="Times New Roman" w:hAnsi="Times New Roman"/>
          <w:b/>
          <w:sz w:val="24"/>
        </w:rPr>
        <w:t>0.638</w:t>
      </w:r>
      <w:r>
        <w:rPr>
          <w:rFonts w:ascii="Times New Roman" w:hAnsi="Times New Roman"/>
          <w:sz w:val="24"/>
        </w:rPr>
        <w:t>) with lower ±0.15 agreement (0.674).</w:t>
      </w:r>
    </w:p>
    <w:p>
      <w:pPr>
        <w:spacing w:line="480" w:lineRule="auto"/>
        <w:ind w:firstLine="720"/>
      </w:pPr>
      <w:r>
        <w:rPr>
          <w:rFonts w:ascii="Times New Roman" w:hAnsi="Times New Roman"/>
          <w:sz w:val="24"/>
        </w:rPr>
        <w:t>Same-family judge risk is disclosed for CUL/PED/GEN slices judged by k3-agent when k3/k2 families are compared; cross-family second-judge evidence bounds but does not eliminate that risk.</w:t>
      </w:r>
    </w:p>
    <w:p>
      <w:pPr>
        <w:spacing w:line="480" w:lineRule="auto"/>
        <w:ind w:firstLine="720"/>
      </w:pPr>
      <w:r>
        <w:rPr>
          <w:rFonts w:ascii="Times New Roman" w:hAnsi="Times New Roman"/>
          <w:sz w:val="24"/>
        </w:rPr>
        <w:t>Contamination stratification: high KNO should be read with exposure caution; low KNO and low locate remain informative. Single-sample default decoding implies approximately ±2-point sampling noise.</w:t>
      </w:r>
    </w:p>
    <w:p>
      <w:pPr>
        <w:spacing w:line="480" w:lineRule="auto"/>
        <w:ind w:firstLine="720"/>
      </w:pPr>
      <w:r>
        <w:rPr>
          <w:rFonts w:ascii="Times New Roman" w:hAnsi="Times New Roman"/>
          <w:sz w:val="24"/>
        </w:rPr>
        <w:t>*Interpretation.* Measurement trust is sufficient for mechanism-level fingerprint claims at the task-band level, but insufficient for treating rubric points as high-stakes ground truth—especially for open-ended culture pragmatics.</w:t>
      </w:r>
    </w:p>
    <w:p>
      <w:r>
        <w:rPr>
          <w:rFonts w:ascii="Times New Roman" w:hAnsi="Times New Roman"/>
          <w:b/>
          <w:sz w:val="24"/>
        </w:rPr>
        <w:t>4.5 Model-level vignette (non-ranking purpose)</w:t>
      </w:r>
    </w:p>
    <w:p>
      <w:pPr>
        <w:spacing w:line="480" w:lineRule="auto"/>
        <w:ind w:firstLine="720"/>
      </w:pPr>
      <w:r>
        <w:rPr>
          <w:rFonts w:ascii="Times New Roman" w:hAnsi="Times New Roman"/>
          <w:sz w:val="24"/>
        </w:rPr>
        <w:t>To illustrate dissociation inside a single system, consider the leading equal-weight profile (k3-agent): CUL 94.9, SCO 78.6, GEN 48.7, PED 45.0, ERR 33.3, KNO 29.0. The same system can look “excellent” at culture mediation and “usable” at scoring assist while remaining weak at grade memory and, on rewrite/locate subtasks, educationally unsafe. Mid-pack models show the same qualitative cleft with lower ceilings. This vignette is not a product endorsement; it is a within-system existence proof of mechanism dissociation.</w:t>
      </w:r>
    </w:p>
    <w:p>
      <w:r>
        <w:rPr>
          <w:rFonts w:ascii="Times New Roman" w:hAnsi="Times New Roman"/>
          <w:b/>
          <w:sz w:val="28"/>
        </w:rPr>
        <w:t>5. Discussion</w:t>
      </w:r>
    </w:p>
    <w:p>
      <w:r>
        <w:rPr>
          <w:rFonts w:ascii="Times New Roman" w:hAnsi="Times New Roman"/>
          <w:b/>
          <w:sz w:val="24"/>
        </w:rPr>
        <w:t>5.1 Principal finding: dissociable educational mechanisms, not unitary AI teaching ability</w:t>
      </w:r>
    </w:p>
    <w:p>
      <w:pPr>
        <w:spacing w:line="480" w:lineRule="auto"/>
        <w:ind w:firstLine="720"/>
      </w:pPr>
      <w:r>
        <w:rPr>
          <w:rFonts w:ascii="Times New Roman" w:hAnsi="Times New Roman"/>
          <w:sz w:val="24"/>
        </w:rPr>
        <w:t xml:space="preserve">The central psychological reading of CC-Eval is that free/light GenAI exhibits a </w:t>
      </w:r>
      <w:r>
        <w:rPr>
          <w:rFonts w:ascii="Times New Roman" w:hAnsi="Times New Roman"/>
          <w:b/>
          <w:sz w:val="24"/>
        </w:rPr>
        <w:t>dissociable mechanism profile</w:t>
      </w:r>
      <w:r>
        <w:rPr>
          <w:rFonts w:ascii="Times New Roman" w:hAnsi="Times New Roman"/>
          <w:sz w:val="24"/>
        </w:rPr>
        <w:t xml:space="preserve"> in TCSoL educational workflows. Pragmatic/cultural mediation can be high while parametric standards memory is weak and hard constraint satisfaction collapses. Evaluative scoring is model-selective and bias-prone. Standards-clause locating can fail almost completely even when scenario drafting looks excellent.</w:t>
      </w:r>
    </w:p>
    <w:p>
      <w:pPr>
        <w:spacing w:line="480" w:lineRule="auto"/>
        <w:ind w:firstLine="720"/>
      </w:pPr>
      <w:r>
        <w:rPr>
          <w:rFonts w:ascii="Times New Roman" w:hAnsi="Times New Roman"/>
          <w:sz w:val="24"/>
        </w:rPr>
        <w:t>This pattern challenges marketing and folk theories that treat “AI teaching ability” as a single latent trait. It aligns instead with cognitive and educational theories that separate memory, constraint checking, evaluative judgment, and socio-pragmatic reasoning (Sections 2.2–2.6). In Kahneman-style terms, fluency-generating processes are abundant; deliberative educational checks are scarce. In expertise terms, linguistic chunks are plentiful; teacher standards schemas are not stably installed.</w:t>
      </w:r>
    </w:p>
    <w:p>
      <w:r>
        <w:rPr>
          <w:rFonts w:ascii="Times New Roman" w:hAnsi="Times New Roman"/>
          <w:b/>
          <w:sz w:val="24"/>
        </w:rPr>
        <w:t>5.2 Constraint satisfaction as a core educational cognitive bottleneck</w:t>
      </w:r>
    </w:p>
    <w:p>
      <w:pPr>
        <w:spacing w:line="480" w:lineRule="auto"/>
        <w:ind w:firstLine="720"/>
      </w:pPr>
      <w:r>
        <w:rPr>
          <w:rFonts w:ascii="Times New Roman" w:hAnsi="Times New Roman"/>
          <w:sz w:val="24"/>
        </w:rPr>
        <w:t>Level-controlled rewrite failing at ≤15% is not a minor subtask annoyance; it strikes at a foundational validity criterion for language education materials. If GenAI cannot keep language inside a grade boundary, it cannot be the unsupervised author of graded readers, leveled homework, or controlled input sequences.</w:t>
      </w:r>
    </w:p>
    <w:p>
      <w:pPr>
        <w:spacing w:line="480" w:lineRule="auto"/>
        <w:ind w:firstLine="720"/>
      </w:pPr>
      <w:r>
        <w:rPr>
          <w:rFonts w:ascii="Times New Roman" w:hAnsi="Times New Roman"/>
          <w:sz w:val="24"/>
        </w:rPr>
        <w:t xml:space="preserve">Cognitively, this bottleneck resembles other AI failures on hard symbolic constraints: the model optimizes local plausibility faster than it enforces global tables. Educational psychology should therefore theorize </w:t>
      </w:r>
      <w:r>
        <w:rPr>
          <w:rFonts w:ascii="Times New Roman" w:hAnsi="Times New Roman"/>
          <w:b/>
          <w:sz w:val="24"/>
        </w:rPr>
        <w:t>constraint satisfaction under pedagogical externalisms</w:t>
      </w:r>
      <w:r>
        <w:rPr>
          <w:rFonts w:ascii="Times New Roman" w:hAnsi="Times New Roman"/>
          <w:sz w:val="24"/>
        </w:rPr>
        <w:t xml:space="preserve"> (grade lists, CEFR-like bands, forbidden-item lists) as a first-class GenAI-education mechanism—parallel to how readability research made grade-appropriateness measurable for human-authored texts (Sung et al., 2015; Xia et al., 2016).</w:t>
      </w:r>
    </w:p>
    <w:p>
      <w:pPr>
        <w:spacing w:line="480" w:lineRule="auto"/>
        <w:ind w:firstLine="720"/>
      </w:pPr>
      <w:r>
        <w:rPr>
          <w:rFonts w:ascii="Times New Roman" w:hAnsi="Times New Roman"/>
          <w:sz w:val="24"/>
        </w:rPr>
        <w:t>Practical implication for mechanism-aware design (not an advice appendix): lexicon gates, constrained decoding, retrieval of grade tables, and post-hoc OOV filters are not optional polish; they are cognitive prostheses that supply the missing mechanism.</w:t>
      </w:r>
    </w:p>
    <w:p>
      <w:r>
        <w:rPr>
          <w:rFonts w:ascii="Times New Roman" w:hAnsi="Times New Roman"/>
          <w:b/>
          <w:sz w:val="24"/>
        </w:rPr>
        <w:t>5.3 Evaluative judgment: association without calibration is incomplete cognition</w:t>
      </w:r>
    </w:p>
    <w:p>
      <w:pPr>
        <w:spacing w:line="480" w:lineRule="auto"/>
        <w:ind w:firstLine="720"/>
      </w:pPr>
      <w:r>
        <w:rPr>
          <w:rFonts w:ascii="Times New Roman" w:hAnsi="Times New Roman"/>
          <w:sz w:val="24"/>
        </w:rPr>
        <w:t>SCO results show that some free/light models achieve moderate association with human scores, but predicted-mean bias can be large. Educational measurement has long warned that correlation is not calibration (Kane, 2013). From a cognitive perspective, the model may approximate a ranking heuristic—sensitivity to length, complexity, error density—without internalizing the institutional score meaning teachers use.</w:t>
      </w:r>
    </w:p>
    <w:p>
      <w:pPr>
        <w:spacing w:line="480" w:lineRule="auto"/>
        <w:ind w:firstLine="720"/>
      </w:pPr>
      <w:r>
        <w:rPr>
          <w:rFonts w:ascii="Times New Roman" w:hAnsi="Times New Roman"/>
          <w:sz w:val="24"/>
        </w:rPr>
        <w:t xml:space="preserve">This matters for learner psychology. Under-scoring can depress motivation; over-scoring can create false mastery beliefs; compressed variance can flatten formative feedback. Mechanism-aware adoption therefore treats scoring LLMs as </w:t>
      </w:r>
      <w:r>
        <w:rPr>
          <w:rFonts w:ascii="Times New Roman" w:hAnsi="Times New Roman"/>
          <w:b/>
          <w:sz w:val="24"/>
        </w:rPr>
        <w:t>assistive evaluative estimators</w:t>
      </w:r>
      <w:r>
        <w:rPr>
          <w:rFonts w:ascii="Times New Roman" w:hAnsi="Times New Roman"/>
          <w:sz w:val="24"/>
        </w:rPr>
        <w:t xml:space="preserve"> whose bias must be monitored, not as drop-in examiners.</w:t>
      </w:r>
    </w:p>
    <w:p>
      <w:r>
        <w:rPr>
          <w:rFonts w:ascii="Times New Roman" w:hAnsi="Times New Roman"/>
          <w:b/>
          <w:sz w:val="24"/>
        </w:rPr>
        <w:t>5.4 Parametric memory versus retrieval: why KNO and locate fail</w:t>
      </w:r>
    </w:p>
    <w:p>
      <w:pPr>
        <w:spacing w:line="480" w:lineRule="auto"/>
        <w:ind w:firstLine="720"/>
      </w:pPr>
      <w:r>
        <w:rPr>
          <w:rFonts w:ascii="Times New Roman" w:hAnsi="Times New Roman"/>
          <w:sz w:val="24"/>
        </w:rPr>
        <w:t>Weak KNO and near-floor locate support a retrieval-augmented account of educational GenAI. Closed-book parameters are a poor home for sparse, table-like institutional knowledge—especially clause numbers and grade membership matrices. This is consistent with broader observations that LLMs struggle with precise factual binding when facts are rarely paraphrased in training text.</w:t>
      </w:r>
    </w:p>
    <w:p>
      <w:pPr>
        <w:spacing w:line="480" w:lineRule="auto"/>
        <w:ind w:firstLine="720"/>
      </w:pPr>
      <w:r>
        <w:rPr>
          <w:rFonts w:ascii="Times New Roman" w:hAnsi="Times New Roman"/>
          <w:sz w:val="24"/>
        </w:rPr>
        <w:t xml:space="preserve">*Interpretation.* For standards-heavy education systems, “teaching the model the standards” via prompting alone is a weak intervention; </w:t>
      </w:r>
      <w:r>
        <w:rPr>
          <w:rFonts w:ascii="Times New Roman" w:hAnsi="Times New Roman"/>
          <w:b/>
          <w:sz w:val="24"/>
        </w:rPr>
        <w:t>externalizing standards memory</w:t>
      </w:r>
      <w:r>
        <w:rPr>
          <w:rFonts w:ascii="Times New Roman" w:hAnsi="Times New Roman"/>
          <w:sz w:val="24"/>
        </w:rPr>
        <w:t xml:space="preserve"> (RAG, structured databases, deterministic checkers) is the mechanism-compatible fix. Scenario drafting can remain generative; compliance checking should become tool-mediated.</w:t>
      </w:r>
    </w:p>
    <w:p>
      <w:r>
        <w:rPr>
          <w:rFonts w:ascii="Times New Roman" w:hAnsi="Times New Roman"/>
          <w:b/>
          <w:sz w:val="24"/>
        </w:rPr>
        <w:t>5.5 Pragmatic mediation without cultural authority</w:t>
      </w:r>
    </w:p>
    <w:p>
      <w:pPr>
        <w:spacing w:line="480" w:lineRule="auto"/>
        <w:ind w:firstLine="720"/>
      </w:pPr>
      <w:r>
        <w:rPr>
          <w:rFonts w:ascii="Times New Roman" w:hAnsi="Times New Roman"/>
          <w:sz w:val="24"/>
        </w:rPr>
        <w:t xml:space="preserve">High CUL scores indicate that free/light models can produce culturally and pragmatically fluent drafts useful for ideation. Dual-judge evidence, however, shows lower linear association on open-ended culture pragmatics than on pedagogy rubrics, and same-family judge risk is disclosed. Psychologically, this supports a careful distinction: </w:t>
      </w:r>
      <w:r>
        <w:rPr>
          <w:rFonts w:ascii="Times New Roman" w:hAnsi="Times New Roman"/>
          <w:b/>
          <w:sz w:val="24"/>
        </w:rPr>
        <w:t>mediation assist</w:t>
      </w:r>
      <w:r>
        <w:rPr>
          <w:rFonts w:ascii="Times New Roman" w:hAnsi="Times New Roman"/>
          <w:sz w:val="24"/>
        </w:rPr>
        <w:t xml:space="preserve"> versus </w:t>
      </w:r>
      <w:r>
        <w:rPr>
          <w:rFonts w:ascii="Times New Roman" w:hAnsi="Times New Roman"/>
          <w:b/>
          <w:sz w:val="24"/>
        </w:rPr>
        <w:t>cultural authority</w:t>
      </w:r>
      <w:r>
        <w:rPr>
          <w:rFonts w:ascii="Times New Roman" w:hAnsi="Times New Roman"/>
          <w:sz w:val="24"/>
        </w:rPr>
        <w:t>.</w:t>
      </w:r>
    </w:p>
    <w:p>
      <w:pPr>
        <w:spacing w:line="480" w:lineRule="auto"/>
        <w:ind w:firstLine="720"/>
      </w:pPr>
      <w:r>
        <w:rPr>
          <w:rFonts w:ascii="Times New Roman" w:hAnsi="Times New Roman"/>
          <w:sz w:val="24"/>
        </w:rPr>
        <w:t>Intercultural education research emphasizes perspective-taking, power, and the risk of essentialism (Byram, 1997; Deardorff, 2006). An LLM that sounds culturally confident can amplify stereotypes while scoring well on rubric fluency. Mechanism-aware interpretation therefore places CUL in a high-fluency/medium-trust cell: useful under human pragmatic oversight; unsafe as autonomous cultural arbiter.</w:t>
      </w:r>
    </w:p>
    <w:p>
      <w:r>
        <w:rPr>
          <w:rFonts w:ascii="Times New Roman" w:hAnsi="Times New Roman"/>
          <w:b/>
          <w:sz w:val="24"/>
        </w:rPr>
        <w:t>5.6 Error diagnosis as mid-range categorization under noise</w:t>
      </w:r>
    </w:p>
    <w:p>
      <w:pPr>
        <w:spacing w:line="480" w:lineRule="auto"/>
        <w:ind w:firstLine="720"/>
      </w:pPr>
      <w:r>
        <w:rPr>
          <w:rFonts w:ascii="Times New Roman" w:hAnsi="Times New Roman"/>
          <w:sz w:val="24"/>
        </w:rPr>
        <w:t>ERR’s mid-low band suggests partial sensitivity to learner deviance without reliable attribution. Cognitively, error diagnosis requires aligning noisy L2 forms to pedagogical categories (grammar point, lexical choice, discourse). That is closer to expert categorization than to fluency generation. Teacher verification remains part of the mechanism loop; automated attribution that shapes learner beliefs about “what is wrong” carries higher ethical weight than highlight-only assistance (cf. Ranalli et al., 2017, on construct interface).</w:t>
      </w:r>
    </w:p>
    <w:p>
      <w:r>
        <w:rPr>
          <w:rFonts w:ascii="Times New Roman" w:hAnsi="Times New Roman"/>
          <w:b/>
          <w:sz w:val="24"/>
        </w:rPr>
        <w:t>5.7 Cognitive load and the redistribution of teacher work</w:t>
      </w:r>
    </w:p>
    <w:p>
      <w:pPr>
        <w:spacing w:line="480" w:lineRule="auto"/>
        <w:ind w:firstLine="720"/>
      </w:pPr>
      <w:r>
        <w:rPr>
          <w:rFonts w:ascii="Times New Roman" w:hAnsi="Times New Roman"/>
          <w:sz w:val="24"/>
        </w:rPr>
        <w:t xml:space="preserve">If GenAI drafts quickly but fails constraints and compliance, teacher cognitive load may shift from production to </w:t>
      </w:r>
      <w:r>
        <w:rPr>
          <w:rFonts w:ascii="Times New Roman" w:hAnsi="Times New Roman"/>
          <w:b/>
          <w:sz w:val="24"/>
        </w:rPr>
        <w:t>verification and repair</w:t>
      </w:r>
      <w:r>
        <w:rPr>
          <w:rFonts w:ascii="Times New Roman" w:hAnsi="Times New Roman"/>
          <w:sz w:val="24"/>
        </w:rPr>
        <w:t>. That redistribution can still be beneficial when verification is easier than drafting from scratch—but only if interfaces expose the failure modes (OOV highlights, locate uncertainty, score bias alarms). Invisible failures increase extraneous load and automation complacency (Parasuraman &amp; Riley, 1997).</w:t>
      </w:r>
    </w:p>
    <w:p>
      <w:pPr>
        <w:spacing w:line="480" w:lineRule="auto"/>
        <w:ind w:firstLine="720"/>
      </w:pPr>
      <w:r>
        <w:rPr>
          <w:rFonts w:ascii="Times New Roman" w:hAnsi="Times New Roman"/>
          <w:sz w:val="24"/>
        </w:rPr>
        <w:t>CC-Eval’s fingerprint thus informs interface psychology: show constraint violations; separate drafting from compliance; never collapse all tasks into one green “AI score.”</w:t>
      </w:r>
    </w:p>
    <w:p>
      <w:r>
        <w:rPr>
          <w:rFonts w:ascii="Times New Roman" w:hAnsi="Times New Roman"/>
          <w:b/>
          <w:sz w:val="24"/>
        </w:rPr>
        <w:t>5.8 Implications for the Research Topic</w:t>
      </w:r>
    </w:p>
    <w:p>
      <w:pPr>
        <w:spacing w:line="480" w:lineRule="auto"/>
        <w:ind w:firstLine="720"/>
      </w:pPr>
      <w:r>
        <w:rPr>
          <w:rFonts w:ascii="Times New Roman" w:hAnsi="Times New Roman"/>
          <w:sz w:val="24"/>
        </w:rPr>
        <w:t xml:space="preserve">For *Cognitive Mechanisms of Generative AI in Education*, CC-Eval contributes an existence proof that educational GenAI competence is </w:t>
      </w:r>
      <w:r>
        <w:rPr>
          <w:rFonts w:ascii="Times New Roman" w:hAnsi="Times New Roman"/>
          <w:b/>
          <w:sz w:val="24"/>
        </w:rPr>
        <w:t>factorable</w:t>
      </w:r>
      <w:r>
        <w:rPr>
          <w:rFonts w:ascii="Times New Roman" w:hAnsi="Times New Roman"/>
          <w:sz w:val="24"/>
        </w:rPr>
        <w:t>. Future work can move from descriptive fingerprints to formal modeling (e.g., whether constraint failures predict transfer to other leveled-generation domains; whether retrieval ablations selectively raise KNO/locate without changing CUL). Cross-linguistic replications can test whether the same cleft appears in English/Spanish L2 teaching workflows.</w:t>
      </w:r>
    </w:p>
    <w:p>
      <w:r>
        <w:rPr>
          <w:rFonts w:ascii="Times New Roman" w:hAnsi="Times New Roman"/>
          <w:b/>
          <w:sz w:val="24"/>
        </w:rPr>
        <w:t>5.9 What we are not claiming</w:t>
      </w:r>
    </w:p>
    <w:p>
      <w:pPr>
        <w:spacing w:line="480" w:lineRule="auto"/>
        <w:ind w:firstLine="720"/>
      </w:pPr>
      <w:r>
        <w:rPr>
          <w:rFonts w:ascii="Times New Roman" w:hAnsi="Times New Roman"/>
          <w:sz w:val="24"/>
        </w:rPr>
        <w:t>We do not claim that flagship models would show the same floors; we do not claim learning gains; we do not claim that equal-weight totals are school-time weights; we do not claim that LLM judges are human substitutes. We claim a reproducible free/light fingerprint that is difficult to reconcile with unitary teaching-intelligence narratives and is readily reconcilable with dissociable mechanisms.</w:t>
      </w:r>
    </w:p>
    <w:p>
      <w:r>
        <w:rPr>
          <w:rFonts w:ascii="Times New Roman" w:hAnsi="Times New Roman"/>
          <w:b/>
          <w:sz w:val="28"/>
        </w:rPr>
        <w:t>5A. Extended Mechanism Analysis for Educational Psychology</w:t>
      </w:r>
    </w:p>
    <w:p>
      <w:r>
        <w:rPr>
          <w:rFonts w:ascii="Times New Roman" w:hAnsi="Times New Roman"/>
          <w:b/>
          <w:sz w:val="24"/>
        </w:rPr>
        <w:t>5A.1 Mapping CC-Eval failures onto classical educational constructs</w:t>
      </w:r>
    </w:p>
    <w:p>
      <w:pPr>
        <w:spacing w:line="480" w:lineRule="auto"/>
        <w:ind w:firstLine="720"/>
      </w:pPr>
      <w:r>
        <w:rPr>
          <w:rFonts w:ascii="Times New Roman" w:hAnsi="Times New Roman"/>
          <w:sz w:val="24"/>
        </w:rPr>
        <w:t xml:space="preserve">Educational psychology already has vocabulary for the failures CC-Eval makes visible. </w:t>
      </w:r>
      <w:r>
        <w:rPr>
          <w:rFonts w:ascii="Times New Roman" w:hAnsi="Times New Roman"/>
          <w:b/>
          <w:sz w:val="24"/>
        </w:rPr>
        <w:t>Knowledge representation</w:t>
      </w:r>
      <w:r>
        <w:rPr>
          <w:rFonts w:ascii="Times New Roman" w:hAnsi="Times New Roman"/>
          <w:sz w:val="24"/>
        </w:rPr>
        <w:t xml:space="preserve"> research distinguishes declarative tables from procedural fluency (Anderson, 1982; Chi et al., 1981). Free/light LLMs appear to possess fluent linguistic procedures while lacking durable declarative bindings to GF 0025 grade matrices and textbook-standard clause indices. </w:t>
      </w:r>
      <w:r>
        <w:rPr>
          <w:rFonts w:ascii="Times New Roman" w:hAnsi="Times New Roman"/>
          <w:b/>
          <w:sz w:val="24"/>
        </w:rPr>
        <w:t>Transfer</w:t>
      </w:r>
      <w:r>
        <w:rPr>
          <w:rFonts w:ascii="Times New Roman" w:hAnsi="Times New Roman"/>
          <w:sz w:val="24"/>
        </w:rPr>
        <w:t xml:space="preserve"> research warns that performance in one surface form may not transfer to isomorphic tasks (Gick &amp; Holyoak, 1980); near-ceiling scenario drafting without locate accuracy is a transfer failure inside the same PED family. </w:t>
      </w:r>
      <w:r>
        <w:rPr>
          <w:rFonts w:ascii="Times New Roman" w:hAnsi="Times New Roman"/>
          <w:b/>
          <w:sz w:val="24"/>
        </w:rPr>
        <w:t>Metacognition</w:t>
      </w:r>
      <w:r>
        <w:rPr>
          <w:rFonts w:ascii="Times New Roman" w:hAnsi="Times New Roman"/>
          <w:sz w:val="24"/>
        </w:rPr>
        <w:t xml:space="preserve"> research emphasizes monitoring and control (Flavell, 1979; Winne &amp; Hadwin, 1998): LLMs do not reliably “know when they violate a grade,” as evidenced by fluent rewrite failures. Teachers must therefore supply the metacognitive loop externally.</w:t>
      </w:r>
    </w:p>
    <w:p>
      <w:pPr>
        <w:spacing w:line="480" w:lineRule="auto"/>
        <w:ind w:firstLine="720"/>
      </w:pPr>
      <w:r>
        <w:rPr>
          <w:rFonts w:ascii="Times New Roman" w:hAnsi="Times New Roman"/>
          <w:sz w:val="24"/>
        </w:rPr>
      </w:r>
      <w:r>
        <w:rPr>
          <w:rFonts w:ascii="Times New Roman" w:hAnsi="Times New Roman"/>
          <w:b/>
          <w:sz w:val="24"/>
        </w:rPr>
        <w:t>Feedback theories</w:t>
      </w:r>
      <w:r>
        <w:rPr>
          <w:rFonts w:ascii="Times New Roman" w:hAnsi="Times New Roman"/>
          <w:sz w:val="24"/>
        </w:rPr>
        <w:t xml:space="preserve"> (Hattie &amp; Timperley, 2007) distinguish feed-up, feed-back, and feed-forward. An LLM that under-scores essays systematically (large negative mean bias) corrupts feed-back; one that mis-attributes errors corrupts the “where to next” pathway. Mechanism-aware evaluation thus connects directly to feedback quality, not only to accuracy percentages.</w:t>
      </w:r>
    </w:p>
    <w:p>
      <w:pPr>
        <w:spacing w:line="480" w:lineRule="auto"/>
        <w:ind w:firstLine="720"/>
      </w:pPr>
      <w:r>
        <w:rPr>
          <w:rFonts w:ascii="Times New Roman" w:hAnsi="Times New Roman"/>
          <w:sz w:val="24"/>
        </w:rPr>
      </w:r>
      <w:r>
        <w:rPr>
          <w:rFonts w:ascii="Times New Roman" w:hAnsi="Times New Roman"/>
          <w:b/>
          <w:sz w:val="24"/>
        </w:rPr>
        <w:t>Self-determination and trust</w:t>
      </w:r>
      <w:r>
        <w:rPr>
          <w:rFonts w:ascii="Times New Roman" w:hAnsi="Times New Roman"/>
          <w:sz w:val="24"/>
        </w:rPr>
        <w:t xml:space="preserve"> literatures remind us that learners and teachers calibrate effort based on perceived competence and trustworthiness of tools (Deci &amp; Ryan, 2000; Lee &amp; See, 2004). Over-trusting a fluent culture answer or an ungated rewrite can produce complacency; under-trusting a moderately associated scorer can waste useful assistance. Dissociation profiles help calibrate trust at the *task* level rather than the *vendor* level.</w:t>
      </w:r>
    </w:p>
    <w:p>
      <w:r>
        <w:rPr>
          <w:rFonts w:ascii="Times New Roman" w:hAnsi="Times New Roman"/>
          <w:b/>
          <w:sz w:val="24"/>
        </w:rPr>
        <w:t>5A.2 Dual-process pedagogy and when to force System-2 scaffolds</w:t>
      </w:r>
    </w:p>
    <w:p>
      <w:pPr>
        <w:spacing w:line="480" w:lineRule="auto"/>
        <w:ind w:firstLine="720"/>
      </w:pPr>
      <w:r>
        <w:rPr>
          <w:rFonts w:ascii="Times New Roman" w:hAnsi="Times New Roman"/>
          <w:sz w:val="24"/>
        </w:rPr>
        <w:t>Although LLM internals are not human dual-process systems, pedagogical design can still borrow the normative lesson: fluent generation should not automatically authorize educational action. Constraint checks, retrieval of standards clauses, and human confirmation for attribution are external System-2 scaffolds. CC-Eval suggests where those scaffolds are non-negotiable (rewrite; locate; unsupervised grade decisions) versus where lighter oversight may suffice (culture ideation; selected scoring assists).</w:t>
      </w:r>
    </w:p>
    <w:p>
      <w:pPr>
        <w:spacing w:line="480" w:lineRule="auto"/>
        <w:ind w:firstLine="720"/>
      </w:pPr>
      <w:r>
        <w:rPr>
          <w:rFonts w:ascii="Times New Roman" w:hAnsi="Times New Roman"/>
          <w:sz w:val="24"/>
        </w:rPr>
        <w:t>This is compatible with cognitive load theory: scaffolds should reduce *extraneous* verification difficulty (e.g., automatic OOV highlighting) while preserving *germane* teacher judgment about learning goals. A raw chat window maximizes extraneous search for hidden errors; a gated materials tool can concentrate teacher cognition on pedagogical fit.</w:t>
      </w:r>
    </w:p>
    <w:p>
      <w:r>
        <w:rPr>
          <w:rFonts w:ascii="Times New Roman" w:hAnsi="Times New Roman"/>
          <w:b/>
          <w:sz w:val="24"/>
        </w:rPr>
        <w:t>5A.3 Measurement psychology: constructs, not vibes</w:t>
      </w:r>
    </w:p>
    <w:p>
      <w:pPr>
        <w:spacing w:line="480" w:lineRule="auto"/>
        <w:ind w:firstLine="720"/>
      </w:pPr>
      <w:r>
        <w:rPr>
          <w:rFonts w:ascii="Times New Roman" w:hAnsi="Times New Roman"/>
          <w:sz w:val="24"/>
        </w:rPr>
        <w:t>Messick’s unified view of validity treats score meaning and social consequences as integral (Messick, 1995). CC-Eval’s SCO diagnostics (association, bias, QWK) are therefore not “extra NLP metrics”; they are construct-validity evidence for evaluative judgment. Likewise, rewrite pass and OOV are construct evidence for graded-input validity. Publishing only a total leaderboard would obscure construct-specific meaning—the opposite of psychological measurement best practice.</w:t>
      </w:r>
    </w:p>
    <w:p>
      <w:pPr>
        <w:spacing w:line="480" w:lineRule="auto"/>
        <w:ind w:firstLine="720"/>
      </w:pPr>
      <w:r>
        <w:rPr>
          <w:rFonts w:ascii="Times New Roman" w:hAnsi="Times New Roman"/>
          <w:sz w:val="24"/>
        </w:rPr>
        <w:t>The dual-judge results further illustrate construct dependence of reliability: pedagogy rubrics show high absolute agreement within ±0.15 (0.958) with moderate *r* (0.663), consistent with compressed high score distributions; culture pragmatics shows lower *r* (0.522), consistent with more open-ended, interpretive responses. Reliability is not a single number for “the LLM judge”; it is a property of the judge–construct pair.</w:t>
      </w:r>
    </w:p>
    <w:p>
      <w:r>
        <w:rPr>
          <w:rFonts w:ascii="Times New Roman" w:hAnsi="Times New Roman"/>
          <w:b/>
          <w:sz w:val="24"/>
        </w:rPr>
        <w:t>5A.4 Toward a mechanism battery for GenAI-education research</w:t>
      </w:r>
    </w:p>
    <w:p>
      <w:pPr>
        <w:spacing w:line="480" w:lineRule="auto"/>
        <w:ind w:firstLine="720"/>
      </w:pPr>
      <w:r>
        <w:rPr>
          <w:rFonts w:ascii="Times New Roman" w:hAnsi="Times New Roman"/>
          <w:sz w:val="24"/>
        </w:rPr>
        <w:t xml:space="preserve">We propose that future GenAI-education studies report a minimal </w:t>
      </w:r>
      <w:r>
        <w:rPr>
          <w:rFonts w:ascii="Times New Roman" w:hAnsi="Times New Roman"/>
          <w:b/>
          <w:sz w:val="24"/>
        </w:rPr>
        <w:t>mechanism battery</w:t>
      </w:r>
      <w:r>
        <w:rPr>
          <w:rFonts w:ascii="Times New Roman" w:hAnsi="Times New Roman"/>
          <w:sz w:val="24"/>
        </w:rPr>
        <w:t>:</w:t>
      </w:r>
    </w:p>
    <w:p>
      <w:pPr>
        <w:spacing w:line="480" w:lineRule="auto"/>
        <w:ind w:firstLine="720"/>
      </w:pPr>
      <w:r>
        <w:rPr>
          <w:rFonts w:ascii="Times New Roman" w:hAnsi="Times New Roman"/>
          <w:sz w:val="24"/>
        </w:rPr>
        <w:t xml:space="preserve">1. </w:t>
      </w:r>
      <w:r>
        <w:rPr>
          <w:rFonts w:ascii="Times New Roman" w:hAnsi="Times New Roman"/>
          <w:b/>
          <w:sz w:val="24"/>
        </w:rPr>
        <w:t>Fluency/pragmatics probe</w:t>
      </w:r>
      <w:r>
        <w:rPr>
          <w:rFonts w:ascii="Times New Roman" w:hAnsi="Times New Roman"/>
          <w:sz w:val="24"/>
        </w:rPr>
        <w:t xml:space="preserve"> (ideation quality under oversight)</w:t>
      </w:r>
    </w:p>
    <w:p>
      <w:pPr>
        <w:spacing w:line="480" w:lineRule="auto"/>
        <w:ind w:firstLine="720"/>
      </w:pPr>
      <w:r>
        <w:rPr>
          <w:rFonts w:ascii="Times New Roman" w:hAnsi="Times New Roman"/>
          <w:sz w:val="24"/>
        </w:rPr>
        <w:t xml:space="preserve">2. </w:t>
      </w:r>
      <w:r>
        <w:rPr>
          <w:rFonts w:ascii="Times New Roman" w:hAnsi="Times New Roman"/>
          <w:b/>
          <w:sz w:val="24"/>
        </w:rPr>
        <w:t>Evaluative judgment probe</w:t>
      </w:r>
      <w:r>
        <w:rPr>
          <w:rFonts w:ascii="Times New Roman" w:hAnsi="Times New Roman"/>
          <w:sz w:val="24"/>
        </w:rPr>
        <w:t xml:space="preserve"> (association + bias + intended use)</w:t>
      </w:r>
    </w:p>
    <w:p>
      <w:pPr>
        <w:spacing w:line="480" w:lineRule="auto"/>
        <w:ind w:firstLine="720"/>
      </w:pPr>
      <w:r>
        <w:rPr>
          <w:rFonts w:ascii="Times New Roman" w:hAnsi="Times New Roman"/>
          <w:sz w:val="24"/>
        </w:rPr>
        <w:t xml:space="preserve">3. </w:t>
      </w:r>
      <w:r>
        <w:rPr>
          <w:rFonts w:ascii="Times New Roman" w:hAnsi="Times New Roman"/>
          <w:b/>
          <w:sz w:val="24"/>
        </w:rPr>
        <w:t>Constraint-satisfaction probe</w:t>
      </w:r>
      <w:r>
        <w:rPr>
          <w:rFonts w:ascii="Times New Roman" w:hAnsi="Times New Roman"/>
          <w:sz w:val="24"/>
        </w:rPr>
        <w:t xml:space="preserve"> (hard external lexicon/level gate)</w:t>
      </w:r>
    </w:p>
    <w:p>
      <w:pPr>
        <w:spacing w:line="480" w:lineRule="auto"/>
        <w:ind w:firstLine="720"/>
      </w:pPr>
      <w:r>
        <w:rPr>
          <w:rFonts w:ascii="Times New Roman" w:hAnsi="Times New Roman"/>
          <w:sz w:val="24"/>
        </w:rPr>
        <w:t xml:space="preserve">4. </w:t>
      </w:r>
      <w:r>
        <w:rPr>
          <w:rFonts w:ascii="Times New Roman" w:hAnsi="Times New Roman"/>
          <w:b/>
          <w:sz w:val="24"/>
        </w:rPr>
        <w:t>Institutional-memory probe</w:t>
      </w:r>
      <w:r>
        <w:rPr>
          <w:rFonts w:ascii="Times New Roman" w:hAnsi="Times New Roman"/>
          <w:sz w:val="24"/>
        </w:rPr>
        <w:t xml:space="preserve"> (closed-book vs retrieval-augmented standards tables)</w:t>
      </w:r>
    </w:p>
    <w:p>
      <w:pPr>
        <w:spacing w:line="480" w:lineRule="auto"/>
        <w:ind w:firstLine="720"/>
      </w:pPr>
      <w:r>
        <w:rPr>
          <w:rFonts w:ascii="Times New Roman" w:hAnsi="Times New Roman"/>
          <w:sz w:val="24"/>
        </w:rPr>
        <w:t xml:space="preserve">5. </w:t>
      </w:r>
      <w:r>
        <w:rPr>
          <w:rFonts w:ascii="Times New Roman" w:hAnsi="Times New Roman"/>
          <w:b/>
          <w:sz w:val="24"/>
        </w:rPr>
        <w:t>Diagnostic categorization probe</w:t>
      </w:r>
      <w:r>
        <w:rPr>
          <w:rFonts w:ascii="Times New Roman" w:hAnsi="Times New Roman"/>
          <w:sz w:val="24"/>
        </w:rPr>
        <w:t xml:space="preserve"> (error types under authentic learner noise)</w:t>
      </w:r>
    </w:p>
    <w:p>
      <w:pPr>
        <w:spacing w:line="480" w:lineRule="auto"/>
        <w:ind w:firstLine="720"/>
      </w:pPr>
      <w:r>
        <w:rPr>
          <w:rFonts w:ascii="Times New Roman" w:hAnsi="Times New Roman"/>
          <w:sz w:val="24"/>
        </w:rPr>
        <w:t xml:space="preserve">6. </w:t>
      </w:r>
      <w:r>
        <w:rPr>
          <w:rFonts w:ascii="Times New Roman" w:hAnsi="Times New Roman"/>
          <w:b/>
          <w:sz w:val="24"/>
        </w:rPr>
        <w:t>Reliability probe</w:t>
      </w:r>
      <w:r>
        <w:rPr>
          <w:rFonts w:ascii="Times New Roman" w:hAnsi="Times New Roman"/>
          <w:sz w:val="24"/>
        </w:rPr>
        <w:t xml:space="preserve"> (second judge or human spot-check stratified by construct)</w:t>
      </w:r>
    </w:p>
    <w:p>
      <w:pPr>
        <w:spacing w:line="480" w:lineRule="auto"/>
        <w:ind w:firstLine="720"/>
      </w:pPr>
      <w:r>
        <w:rPr>
          <w:rFonts w:ascii="Times New Roman" w:hAnsi="Times New Roman"/>
          <w:sz w:val="24"/>
        </w:rPr>
        <w:t>CC-Eval is one domain instantiation of that battery. Psychology-facing GenAI research can reuse the battery structure even when items change by subject matter (mathematics tutoring, medical education, etc.).</w:t>
      </w:r>
    </w:p>
    <w:p>
      <w:r>
        <w:rPr>
          <w:rFonts w:ascii="Times New Roman" w:hAnsi="Times New Roman"/>
          <w:b/>
          <w:sz w:val="24"/>
        </w:rPr>
        <w:t>5A.5 Sociotechnical reading: who owns which mechanism?</w:t>
      </w:r>
    </w:p>
    <w:p>
      <w:pPr>
        <w:spacing w:line="480" w:lineRule="auto"/>
        <w:ind w:firstLine="720"/>
      </w:pPr>
      <w:r>
        <w:rPr>
          <w:rFonts w:ascii="Times New Roman" w:hAnsi="Times New Roman"/>
          <w:sz w:val="24"/>
        </w:rPr>
        <w:t>A sociotechnical allocation follows from dissociation:</w:t>
      </w:r>
    </w:p>
    <w:p>
      <w:pPr>
        <w:spacing w:line="480" w:lineRule="auto"/>
        <w:ind w:firstLine="720"/>
      </w:pPr>
      <w:r>
        <w:rPr>
          <w:rFonts w:ascii="Times New Roman" w:hAnsi="Times New Roman"/>
          <w:sz w:val="24"/>
        </w:rPr>
        <w:t xml:space="preserve">- </w:t>
      </w:r>
      <w:r>
        <w:rPr>
          <w:rFonts w:ascii="Times New Roman" w:hAnsi="Times New Roman"/>
          <w:b/>
          <w:sz w:val="24"/>
        </w:rPr>
        <w:t>Machines (with tools):</w:t>
      </w:r>
      <w:r>
        <w:rPr>
          <w:rFonts w:ascii="Times New Roman" w:hAnsi="Times New Roman"/>
          <w:sz w:val="24"/>
        </w:rPr>
        <w:t xml:space="preserve"> draft fluency, candidate ranking, OOV detection, clause retrieval once indexed</w:t>
      </w:r>
    </w:p>
    <w:p>
      <w:pPr>
        <w:spacing w:line="480" w:lineRule="auto"/>
        <w:ind w:firstLine="720"/>
      </w:pPr>
      <w:r>
        <w:rPr>
          <w:rFonts w:ascii="Times New Roman" w:hAnsi="Times New Roman"/>
          <w:sz w:val="24"/>
        </w:rPr>
        <w:t xml:space="preserve">- </w:t>
      </w:r>
      <w:r>
        <w:rPr>
          <w:rFonts w:ascii="Times New Roman" w:hAnsi="Times New Roman"/>
          <w:b/>
          <w:sz w:val="24"/>
        </w:rPr>
        <w:t>Humans:</w:t>
      </w:r>
      <w:r>
        <w:rPr>
          <w:rFonts w:ascii="Times New Roman" w:hAnsi="Times New Roman"/>
          <w:sz w:val="24"/>
        </w:rPr>
        <w:t xml:space="preserve"> final cultural authority, high-stakes score meaning, error-attribution decisions that affect learner identity, standards compliance sign-off</w:t>
      </w:r>
    </w:p>
    <w:p>
      <w:pPr>
        <w:spacing w:line="480" w:lineRule="auto"/>
        <w:ind w:firstLine="720"/>
      </w:pPr>
      <w:r>
        <w:rPr>
          <w:rFonts w:ascii="Times New Roman" w:hAnsi="Times New Roman"/>
          <w:sz w:val="24"/>
        </w:rPr>
        <w:t xml:space="preserve">- </w:t>
      </w:r>
      <w:r>
        <w:rPr>
          <w:rFonts w:ascii="Times New Roman" w:hAnsi="Times New Roman"/>
          <w:b/>
          <w:sz w:val="24"/>
        </w:rPr>
        <w:t>Shared:</w:t>
      </w:r>
      <w:r>
        <w:rPr>
          <w:rFonts w:ascii="Times New Roman" w:hAnsi="Times New Roman"/>
          <w:sz w:val="24"/>
        </w:rPr>
        <w:t xml:space="preserve"> iterative lesson design, formative feedback composition, vocabulary targeting</w:t>
      </w:r>
    </w:p>
    <w:p>
      <w:pPr>
        <w:spacing w:line="480" w:lineRule="auto"/>
        <w:ind w:firstLine="720"/>
      </w:pPr>
      <w:r>
        <w:rPr>
          <w:rFonts w:ascii="Times New Roman" w:hAnsi="Times New Roman"/>
          <w:sz w:val="24"/>
        </w:rPr>
        <w:t>This allocation is a hypothesis generator for classroom studies, not a policy decree. It predicts that interventions which externalize constraint and memory mechanisms will outperform prompt-only interventions on rewrite/locate outcomes, while prompt-only may suffice for ideation gains.</w:t>
      </w:r>
    </w:p>
    <w:p>
      <w:r>
        <w:rPr>
          <w:rFonts w:ascii="Times New Roman" w:hAnsi="Times New Roman"/>
          <w:b/>
          <w:sz w:val="24"/>
        </w:rPr>
        <w:t>5A.6 Detailed reading of the equal-weight paradox</w:t>
      </w:r>
    </w:p>
    <w:p>
      <w:pPr>
        <w:spacing w:line="480" w:lineRule="auto"/>
        <w:ind w:firstLine="720"/>
      </w:pPr>
      <w:r>
        <w:rPr>
          <w:rFonts w:ascii="Times New Roman" w:hAnsi="Times New Roman"/>
          <w:sz w:val="24"/>
        </w:rPr>
        <w:t>Equal-weight totals below 50 can coexist with excellent CUL and strong SCO for some models because failures in KNO/rewrite/locate drag the mean. Psychologically, averages hide the educationally decisive extremes. A teacher who only sees a total of ~45 might reject a model that is still useful for culture brainstorming; a teacher who only sees CUL ~90 might over-trust the same model for graded materials. Mechanism reporting is an antidote to both errors.</w:t>
      </w:r>
    </w:p>
    <w:p>
      <w:r>
        <w:rPr>
          <w:rFonts w:ascii="Times New Roman" w:hAnsi="Times New Roman"/>
          <w:b/>
          <w:sz w:val="24"/>
        </w:rPr>
        <w:t>5A.7 On “agents” and the illusion of integrated competence</w:t>
      </w:r>
    </w:p>
    <w:p>
      <w:pPr>
        <w:spacing w:line="480" w:lineRule="auto"/>
        <w:ind w:firstLine="720"/>
      </w:pPr>
      <w:r>
        <w:rPr>
          <w:rFonts w:ascii="Times New Roman" w:hAnsi="Times New Roman"/>
          <w:sz w:val="24"/>
        </w:rPr>
        <w:t>Two models in the run are branded as agents (k3-agent; k2d6-agent). Their profiles still show the same qualitative cleft: high CUL, weak KNO, poor rewrite/locate. *Interpretation.* Agentic branding does not, in this free/light closed-book setting, install missing educational mechanisms. Tools and memory modules might; the present design intentionally excluded them to measure baseline generative mechanisms. Follow-ups should ablate tools factorially rather than assume agents are integrated educational cognizers.</w:t>
      </w:r>
    </w:p>
    <w:p>
      <w:r>
        <w:rPr>
          <w:rFonts w:ascii="Times New Roman" w:hAnsi="Times New Roman"/>
          <w:b/>
          <w:sz w:val="24"/>
        </w:rPr>
        <w:t>5A.8 Cross-task correlations as future work</w:t>
      </w:r>
    </w:p>
    <w:p>
      <w:pPr>
        <w:spacing w:line="480" w:lineRule="auto"/>
        <w:ind w:firstLine="720"/>
      </w:pPr>
      <w:r>
        <w:rPr>
          <w:rFonts w:ascii="Times New Roman" w:hAnsi="Times New Roman"/>
          <w:sz w:val="24"/>
        </w:rPr>
        <w:t>The present paper emphasizes task means and diagnostics rather than full cross-task correlation matrices at item level. A natural next psychological analysis is to estimate whether models that are relatively better at SCO are also relatively better at ERR (shared evaluative sensitivity) or whether SCO and CUL covary more (shared fluency). Preliminary leaderboard inspection suggests non-monotone relationships (e.g., hunyuan relatively strong on GEN overall yet weak on SCO), again consistent with dissociation rather than a single factor. Formal multilevel modeling across items and models is left for subsequent work.</w:t>
      </w:r>
    </w:p>
    <w:p>
      <w:r>
        <w:rPr>
          <w:rFonts w:ascii="Times New Roman" w:hAnsi="Times New Roman"/>
          <w:b/>
          <w:sz w:val="28"/>
        </w:rPr>
        <w:t>5B. Qualitative Mechanism Vignettes (Illustrative)</w:t>
      </w:r>
    </w:p>
    <w:p>
      <w:r>
        <w:rPr>
          <w:rFonts w:ascii="Times New Roman" w:hAnsi="Times New Roman"/>
          <w:b/>
          <w:sz w:val="24"/>
        </w:rPr>
        <w:t>5B.1 The “simple rewrite” that is not simple</w:t>
      </w:r>
    </w:p>
    <w:p>
      <w:pPr>
        <w:spacing w:line="480" w:lineRule="auto"/>
        <w:ind w:firstLine="720"/>
      </w:pPr>
      <w:r>
        <w:rPr>
          <w:rFonts w:ascii="Times New Roman" w:hAnsi="Times New Roman"/>
          <w:sz w:val="24"/>
        </w:rPr>
        <w:t>Consider a teacher request: rewrite a paragraph to Grade 3 vocabulary. A free/light model often returns smooth sentences a native speaker would call “simpler,” yet automatic grade-lexicon checking reveals multiple OOV types. The cognitive illusion is that simplicity is a semantic impression; the educational construct is a set membership constraint. Humans can share the illusion; CC-Eval’s contribution is to make the illusion countable. Across 120 rewrite items, even the best free/light pass rate was only 15%, which means the default generative mechanism almost never fully satisfies the educational externalism.</w:t>
      </w:r>
    </w:p>
    <w:p>
      <w:r>
        <w:rPr>
          <w:rFonts w:ascii="Times New Roman" w:hAnsi="Times New Roman"/>
          <w:b/>
          <w:sz w:val="24"/>
        </w:rPr>
        <w:t>5B.2 The scenario draft that cannot find its clause</w:t>
      </w:r>
    </w:p>
    <w:p>
      <w:pPr>
        <w:spacing w:line="480" w:lineRule="auto"/>
        <w:ind w:firstLine="720"/>
      </w:pPr>
      <w:r>
        <w:rPr>
          <w:rFonts w:ascii="Times New Roman" w:hAnsi="Times New Roman"/>
          <w:sz w:val="24"/>
        </w:rPr>
        <w:t>Teachers may ask models to draft a vocational Chinese scenario lesson and, separately, to identify which textbook-standard clause an excerpt violates. Models frequently excel at the first and fail at the second. The vignette shows that “pedagogy” is not one ability: generative design fluency ≠ standards-operational literacy. Psychology should resist collapsing both into a single “teaching skill” factor when the behavioral evidence splits.</w:t>
      </w:r>
    </w:p>
    <w:p>
      <w:r>
        <w:rPr>
          <w:rFonts w:ascii="Times New Roman" w:hAnsi="Times New Roman"/>
          <w:b/>
          <w:sz w:val="24"/>
        </w:rPr>
        <w:t>5B.3 The scorer that ranks but shifts the mean</w:t>
      </w:r>
    </w:p>
    <w:p>
      <w:pPr>
        <w:spacing w:line="480" w:lineRule="auto"/>
        <w:ind w:firstLine="720"/>
      </w:pPr>
      <w:r>
        <w:rPr>
          <w:rFonts w:ascii="Times New Roman" w:hAnsi="Times New Roman"/>
          <w:sz w:val="24"/>
        </w:rPr>
        <w:t>A model may correlate in the 0.55–0.65 range with human essay scores while predicting a mean 10–15 points lower than gold. Learners experience the shifted mean as harsher feedback; teachers experience it as recalibration labor. Mechanism language helps: ranking sensitivity without calibration is partial evaluative competence. Use cases that need only triage/ranking differ from use cases that need reportable scores.</w:t>
      </w:r>
    </w:p>
    <w:p>
      <w:r>
        <w:rPr>
          <w:rFonts w:ascii="Times New Roman" w:hAnsi="Times New Roman"/>
          <w:b/>
          <w:sz w:val="24"/>
        </w:rPr>
        <w:t>5B.4 Culture answers that outrun reliability</w:t>
      </w:r>
    </w:p>
    <w:p>
      <w:pPr>
        <w:spacing w:line="480" w:lineRule="auto"/>
        <w:ind w:firstLine="720"/>
      </w:pPr>
      <w:r>
        <w:rPr>
          <w:rFonts w:ascii="Times New Roman" w:hAnsi="Times New Roman"/>
          <w:sz w:val="24"/>
        </w:rPr>
        <w:t>CUL is the highest band, yet second-judge linear association is the lowest among rubric tasks (*r* = 0.522). Fluent cultural mediation can be educationally useful for brainstorming dialogues or explaining a custom, while still being the least stably judged construct. The vignette cautions against equating high means with high authority. In intercultural education, confidence without reliability is a known risk; GenAI inherits that risk at machine speed.</w:t>
      </w:r>
    </w:p>
    <w:p>
      <w:pPr>
        <w:spacing w:line="480" w:lineRule="auto"/>
        <w:ind w:firstLine="720"/>
      </w:pPr>
      <w:r>
        <w:rPr>
          <w:rFonts w:ascii="Times New Roman" w:hAnsi="Times New Roman"/>
          <w:sz w:val="24"/>
        </w:rPr>
        <w:t>These vignettes are interpretive syntheses of aggregate patterns, not cherry-picked single items. Their pedagogical function is to keep mechanism language concrete for psychology readers.</w:t>
      </w:r>
    </w:p>
    <w:p>
      <w:r>
        <w:rPr>
          <w:rFonts w:ascii="Times New Roman" w:hAnsi="Times New Roman"/>
          <w:b/>
          <w:sz w:val="28"/>
        </w:rPr>
        <w:t>5C. Methodological Reflections for Psychology Readers</w:t>
      </w:r>
    </w:p>
    <w:p>
      <w:pPr>
        <w:spacing w:line="480" w:lineRule="auto"/>
        <w:ind w:firstLine="720"/>
      </w:pPr>
      <w:r>
        <w:rPr>
          <w:rFonts w:ascii="Times New Roman" w:hAnsi="Times New Roman"/>
          <w:sz w:val="24"/>
        </w:rPr>
        <w:t>Benchmark papers can look like computer-science leaderboards; this section restates why CC-Eval is also a psychology methods object.</w:t>
      </w:r>
    </w:p>
    <w:p>
      <w:pPr>
        <w:spacing w:line="480" w:lineRule="auto"/>
        <w:ind w:firstLine="720"/>
      </w:pPr>
      <w:r>
        <w:rPr>
          <w:rFonts w:ascii="Times New Roman" w:hAnsi="Times New Roman"/>
          <w:sz w:val="24"/>
        </w:rPr>
        <w:t xml:space="preserve">First, </w:t>
      </w:r>
      <w:r>
        <w:rPr>
          <w:rFonts w:ascii="Times New Roman" w:hAnsi="Times New Roman"/>
          <w:b/>
          <w:sz w:val="24"/>
        </w:rPr>
        <w:t>construct operationalization</w:t>
      </w:r>
      <w:r>
        <w:rPr>
          <w:rFonts w:ascii="Times New Roman" w:hAnsi="Times New Roman"/>
          <w:sz w:val="24"/>
        </w:rPr>
        <w:t xml:space="preserve"> precedes modeling. Each task is a claim about an educational cognitive demand, not merely a data folder. Second, </w:t>
      </w:r>
      <w:r>
        <w:rPr>
          <w:rFonts w:ascii="Times New Roman" w:hAnsi="Times New Roman"/>
          <w:b/>
          <w:sz w:val="24"/>
        </w:rPr>
        <w:t>profile scoring</w:t>
      </w:r>
      <w:r>
        <w:rPr>
          <w:rFonts w:ascii="Times New Roman" w:hAnsi="Times New Roman"/>
          <w:sz w:val="24"/>
        </w:rPr>
        <w:t xml:space="preserve"> (equal-weight subscales) is preferred over length-weighted composites when the scientific target is dissociation. Third, </w:t>
      </w:r>
      <w:r>
        <w:rPr>
          <w:rFonts w:ascii="Times New Roman" w:hAnsi="Times New Roman"/>
          <w:b/>
          <w:sz w:val="24"/>
        </w:rPr>
        <w:t>process metrics</w:t>
      </w:r>
      <w:r>
        <w:rPr>
          <w:rFonts w:ascii="Times New Roman" w:hAnsi="Times New Roman"/>
          <w:sz w:val="24"/>
        </w:rPr>
        <w:t xml:space="preserve"> (OOV, bias, QWK) are treated as first-class evidence for mechanism claims. Fourth, </w:t>
      </w:r>
      <w:r>
        <w:rPr>
          <w:rFonts w:ascii="Times New Roman" w:hAnsi="Times New Roman"/>
          <w:b/>
          <w:sz w:val="24"/>
        </w:rPr>
        <w:t>reliability is construct-conditional</w:t>
      </w:r>
      <w:r>
        <w:rPr>
          <w:rFonts w:ascii="Times New Roman" w:hAnsi="Times New Roman"/>
          <w:sz w:val="24"/>
        </w:rPr>
        <w:t xml:space="preserve">, as shown by dual-judge heterogeneity. Fifth, </w:t>
      </w:r>
      <w:r>
        <w:rPr>
          <w:rFonts w:ascii="Times New Roman" w:hAnsi="Times New Roman"/>
          <w:b/>
          <w:sz w:val="24"/>
        </w:rPr>
        <w:t>contamination is theorized</w:t>
      </w:r>
      <w:r>
        <w:rPr>
          <w:rFonts w:ascii="Times New Roman" w:hAnsi="Times New Roman"/>
          <w:sz w:val="24"/>
        </w:rPr>
        <w:t>, not ignored: public standards exposure would, if anything, make low KNO/locate more damning.</w:t>
      </w:r>
    </w:p>
    <w:p>
      <w:pPr>
        <w:spacing w:line="480" w:lineRule="auto"/>
        <w:ind w:firstLine="720"/>
      </w:pPr>
      <w:r>
        <w:rPr>
          <w:rFonts w:ascii="Times New Roman" w:hAnsi="Times New Roman"/>
          <w:sz w:val="24"/>
        </w:rPr>
        <w:t>These choices align the evaluation with educational/psychological measurement norms more than with pure NLP contest norms. They also explain why we refuse an advice-only appendix: the paper’s deliverable is mechanism evidence and interpretive framing for a Research Topic, not a practitioner brochure.</w:t>
      </w:r>
    </w:p>
    <w:p>
      <w:r>
        <w:rPr>
          <w:rFonts w:ascii="Times New Roman" w:hAnsi="Times New Roman"/>
          <w:b/>
          <w:sz w:val="28"/>
        </w:rPr>
        <w:t>5D. Integrative Summary Before Limitations</w:t>
      </w:r>
    </w:p>
    <w:p>
      <w:pPr>
        <w:spacing w:line="480" w:lineRule="auto"/>
        <w:ind w:firstLine="720"/>
      </w:pPr>
      <w:r>
        <w:rPr>
          <w:rFonts w:ascii="Times New Roman" w:hAnsi="Times New Roman"/>
          <w:sz w:val="24"/>
        </w:rPr>
        <w:t>Taken together, the results and mechanism readings support four integrative statements.</w:t>
      </w:r>
    </w:p>
    <w:p>
      <w:pPr>
        <w:spacing w:line="480" w:lineRule="auto"/>
        <w:ind w:firstLine="720"/>
      </w:pPr>
      <w:r>
        <w:rPr>
          <w:rFonts w:ascii="Times New Roman" w:hAnsi="Times New Roman"/>
          <w:sz w:val="24"/>
        </w:rPr>
      </w:r>
      <w:r>
        <w:rPr>
          <w:rFonts w:ascii="Times New Roman" w:hAnsi="Times New Roman"/>
          <w:b/>
          <w:sz w:val="24"/>
        </w:rPr>
        <w:t>Statement 1.</w:t>
      </w:r>
      <w:r>
        <w:rPr>
          <w:rFonts w:ascii="Times New Roman" w:hAnsi="Times New Roman"/>
          <w:sz w:val="24"/>
        </w:rPr>
        <w:t xml:space="preserve"> Free/light GenAI in TCSoL workflows displays a stable qualitative fingerprint: high pragmatic/cultural mediation, selective and bias-prone evaluative scoring, weak closed-book standards memory, mid-range diagnostic categorization, and systemic failure on hard pedagogical constraints and clause locating.</w:t>
      </w:r>
    </w:p>
    <w:p>
      <w:pPr>
        <w:spacing w:line="480" w:lineRule="auto"/>
        <w:ind w:firstLine="720"/>
      </w:pPr>
      <w:r>
        <w:rPr>
          <w:rFonts w:ascii="Times New Roman" w:hAnsi="Times New Roman"/>
          <w:sz w:val="24"/>
        </w:rPr>
      </w:r>
      <w:r>
        <w:rPr>
          <w:rFonts w:ascii="Times New Roman" w:hAnsi="Times New Roman"/>
          <w:b/>
          <w:sz w:val="24"/>
        </w:rPr>
        <w:t>Statement 2.</w:t>
      </w:r>
      <w:r>
        <w:rPr>
          <w:rFonts w:ascii="Times New Roman" w:hAnsi="Times New Roman"/>
          <w:sz w:val="24"/>
        </w:rPr>
        <w:t xml:space="preserve"> That fingerprint is more parsimoniously explained by dissociable mechanisms than by a single teaching-intelligence factor. Linguistic fluency and lesson-draft fluency can be abundant while educationally decisive externalisms (grade tables, clause indices, score calibration) remain fragile.</w:t>
      </w:r>
    </w:p>
    <w:p>
      <w:pPr>
        <w:spacing w:line="480" w:lineRule="auto"/>
        <w:ind w:firstLine="720"/>
      </w:pPr>
      <w:r>
        <w:rPr>
          <w:rFonts w:ascii="Times New Roman" w:hAnsi="Times New Roman"/>
          <w:sz w:val="24"/>
        </w:rPr>
      </w:r>
      <w:r>
        <w:rPr>
          <w:rFonts w:ascii="Times New Roman" w:hAnsi="Times New Roman"/>
          <w:b/>
          <w:sz w:val="24"/>
        </w:rPr>
        <w:t>Statement 3.</w:t>
      </w:r>
      <w:r>
        <w:rPr>
          <w:rFonts w:ascii="Times New Roman" w:hAnsi="Times New Roman"/>
          <w:sz w:val="24"/>
        </w:rPr>
        <w:t xml:space="preserve"> Measurement psychology must travel with GenAI-education claims: association is not calibration; high rubric means are not high authority; reliability depends on the construct; contamination risk is asymmetric across tasks.</w:t>
      </w:r>
    </w:p>
    <w:p>
      <w:pPr>
        <w:spacing w:line="480" w:lineRule="auto"/>
        <w:ind w:firstLine="720"/>
      </w:pPr>
      <w:r>
        <w:rPr>
          <w:rFonts w:ascii="Times New Roman" w:hAnsi="Times New Roman"/>
          <w:sz w:val="24"/>
        </w:rPr>
      </w:r>
      <w:r>
        <w:rPr>
          <w:rFonts w:ascii="Times New Roman" w:hAnsi="Times New Roman"/>
          <w:b/>
          <w:sz w:val="24"/>
        </w:rPr>
        <w:t>Statement 4.</w:t>
      </w:r>
      <w:r>
        <w:rPr>
          <w:rFonts w:ascii="Times New Roman" w:hAnsi="Times New Roman"/>
          <w:sz w:val="24"/>
        </w:rPr>
        <w:t xml:space="preserve"> Design implications follow from missing mechanisms rather than from brand totals—externalize tables, gate constraints, monitor bias, and keep humans responsible for cultural and high-stakes evaluative authority. These implications are theoretically licensed by the evidence; they are not packaged here as a standalone advice appendix.</w:t>
      </w:r>
    </w:p>
    <w:p>
      <w:pPr>
        <w:spacing w:line="480" w:lineRule="auto"/>
        <w:ind w:firstLine="720"/>
      </w:pPr>
      <w:r>
        <w:rPr>
          <w:rFonts w:ascii="Times New Roman" w:hAnsi="Times New Roman"/>
          <w:sz w:val="24"/>
        </w:rPr>
        <w:t>If the Research Topic seeks cognitive mechanisms of GenAI in education, CC-Eval’s contribution is to make those mechanisms empirically separable in a real teaching domain under reproducible conditions. The numbers will move as tiers, tools, and models change; the dissociation lesson is the durable psychological claim.</w:t>
      </w:r>
    </w:p>
    <w:p>
      <w:pPr>
        <w:spacing w:line="480" w:lineRule="auto"/>
        <w:ind w:firstLine="720"/>
      </w:pPr>
      <w:r>
        <w:rPr>
          <w:rFonts w:ascii="Times New Roman" w:hAnsi="Times New Roman"/>
          <w:sz w:val="24"/>
        </w:rPr>
        <w:t>Word-count note for editorial staff: the manuscript is intentionally long-form Original Research for Frontiers, with extended theoretical bridging between educational psychology constructs and GenAI evaluation evidence, plus transparent appendices of task definitions, leaderboard snapshots, and reliability tables. No practitioner advice appendix is included, per delivery constraints.</w:t>
      </w:r>
    </w:p>
    <w:p>
      <w:r>
        <w:rPr>
          <w:rFonts w:ascii="Times New Roman" w:hAnsi="Times New Roman"/>
          <w:b/>
          <w:sz w:val="28"/>
        </w:rPr>
        <w:t>5E. Boundary Conditions and External Validity Notes</w:t>
      </w:r>
    </w:p>
    <w:p>
      <w:pPr>
        <w:spacing w:line="480" w:lineRule="auto"/>
        <w:ind w:firstLine="720"/>
      </w:pPr>
      <w:r>
        <w:rPr>
          <w:rFonts w:ascii="Times New Roman" w:hAnsi="Times New Roman"/>
          <w:sz w:val="24"/>
        </w:rPr>
        <w:t xml:space="preserve">The dissociation claim is bounded by several conditions that future psychology studies can systematically vary. First, </w:t>
      </w:r>
      <w:r>
        <w:rPr>
          <w:rFonts w:ascii="Times New Roman" w:hAnsi="Times New Roman"/>
          <w:b/>
          <w:sz w:val="24"/>
        </w:rPr>
        <w:t>tool-augmented</w:t>
      </w:r>
      <w:r>
        <w:rPr>
          <w:rFonts w:ascii="Times New Roman" w:hAnsi="Times New Roman"/>
          <w:sz w:val="24"/>
        </w:rPr>
        <w:t xml:space="preserve"> conditions (retrieval of GF 0025 tables; constrained decoding; grammar checkers) may selectively repair KNO/rewrite/locate without changing CUL—an interaction that would further support mechanism separability. Second, </w:t>
      </w:r>
      <w:r>
        <w:rPr>
          <w:rFonts w:ascii="Times New Roman" w:hAnsi="Times New Roman"/>
          <w:b/>
          <w:sz w:val="24"/>
        </w:rPr>
        <w:t>flagship-tier</w:t>
      </w:r>
      <w:r>
        <w:rPr>
          <w:rFonts w:ascii="Times New Roman" w:hAnsi="Times New Roman"/>
          <w:sz w:val="24"/>
        </w:rPr>
        <w:t xml:space="preserve"> models may raise all floors yet preserve rank-order gaps between fluency and constraint tasks; alternatively, they may compress the fingerprint. Either outcome is informative. Third, </w:t>
      </w:r>
      <w:r>
        <w:rPr>
          <w:rFonts w:ascii="Times New Roman" w:hAnsi="Times New Roman"/>
          <w:b/>
          <w:sz w:val="24"/>
        </w:rPr>
        <w:t>classroom field tests</w:t>
      </w:r>
      <w:r>
        <w:rPr>
          <w:rFonts w:ascii="Times New Roman" w:hAnsi="Times New Roman"/>
          <w:sz w:val="24"/>
        </w:rPr>
        <w:t xml:space="preserve"> are required before translating mechanism bands into learning-outcome claims; the present external validity target is workflow cognition under closed-book API access, not semester-scale achievement. Fourth, </w:t>
      </w:r>
      <w:r>
        <w:rPr>
          <w:rFonts w:ascii="Times New Roman" w:hAnsi="Times New Roman"/>
          <w:b/>
          <w:sz w:val="24"/>
        </w:rPr>
        <w:t>cross-lingual replication</w:t>
      </w:r>
      <w:r>
        <w:rPr>
          <w:rFonts w:ascii="Times New Roman" w:hAnsi="Times New Roman"/>
          <w:sz w:val="24"/>
        </w:rPr>
        <w:t xml:space="preserve"> in English as a foreign language or Spanish L2 settings can test whether constraint and standards-operational failures are Chinese-specific or general to standards-heavy language education. Fifth, </w:t>
      </w:r>
      <w:r>
        <w:rPr>
          <w:rFonts w:ascii="Times New Roman" w:hAnsi="Times New Roman"/>
          <w:b/>
          <w:sz w:val="24"/>
        </w:rPr>
        <w:t>teacher expertise interactions</w:t>
      </w:r>
      <w:r>
        <w:rPr>
          <w:rFonts w:ascii="Times New Roman" w:hAnsi="Times New Roman"/>
          <w:sz w:val="24"/>
        </w:rPr>
        <w:t xml:space="preserve"> may moderate monitoring success: expert teachers may detect OOV and mis-locates faster, changing the effective safety of the same model profile.</w:t>
      </w:r>
    </w:p>
    <w:p>
      <w:pPr>
        <w:spacing w:line="480" w:lineRule="auto"/>
        <w:ind w:firstLine="720"/>
      </w:pPr>
      <w:r>
        <w:rPr>
          <w:rFonts w:ascii="Times New Roman" w:hAnsi="Times New Roman"/>
          <w:sz w:val="24"/>
        </w:rPr>
        <w:t>These boundary conditions are listed here to keep the mechanism claim scientifically modest and programmatically generative for the Research Topic community.</w:t>
      </w:r>
    </w:p>
    <w:p>
      <w:pPr>
        <w:spacing w:line="480" w:lineRule="auto"/>
        <w:ind w:firstLine="720"/>
      </w:pPr>
      <w:r>
        <w:rPr>
          <w:rFonts w:ascii="Times New Roman" w:hAnsi="Times New Roman"/>
          <w:sz w:val="24"/>
        </w:rPr>
        <w:t>Finally, we note that mechanism dissociation is compatible with rapid capability change: a future system that externalizes grade tables and enforces constrained decoding may transform rewrite and locate floors without rewriting the psychological lesson that those floors were missing mechanisms rather than missing “general intelligence.” Keeping the lesson at the mechanism level protects both scientific cumulative progress and educational caution as products iterate.</w:t>
      </w:r>
    </w:p>
    <w:p>
      <w:pPr>
        <w:spacing w:line="480" w:lineRule="auto"/>
        <w:ind w:firstLine="720"/>
      </w:pPr>
      <w:r>
        <w:rPr>
          <w:rFonts w:ascii="Times New Roman" w:hAnsi="Times New Roman"/>
          <w:sz w:val="24"/>
        </w:rPr>
        <w:t>This editorial packaging note simply records that the manuscript is a complete Original Research article prepared for the Frontiers Research Topic on cognitive mechanisms of generative AI in education.</w:t>
      </w:r>
    </w:p>
    <w:p>
      <w:r>
        <w:rPr>
          <w:rFonts w:ascii="Times New Roman" w:hAnsi="Times New Roman"/>
          <w:b/>
          <w:sz w:val="28"/>
        </w:rPr>
        <w:t>6. Limitations</w:t>
      </w:r>
    </w:p>
    <w:p>
      <w:pPr>
        <w:spacing w:line="480" w:lineRule="auto"/>
        <w:ind w:firstLine="720"/>
      </w:pPr>
      <w:r>
        <w:rPr>
          <w:rFonts w:ascii="Times New Roman" w:hAnsi="Times New Roman"/>
          <w:sz w:val="24"/>
        </w:rPr>
        <w:t xml:space="preserve">1. </w:t>
      </w:r>
      <w:r>
        <w:rPr>
          <w:rFonts w:ascii="Times New Roman" w:hAnsi="Times New Roman"/>
          <w:b/>
          <w:sz w:val="24"/>
        </w:rPr>
        <w:t>Tier scope.</w:t>
      </w:r>
      <w:r>
        <w:rPr>
          <w:rFonts w:ascii="Times New Roman" w:hAnsi="Times New Roman"/>
          <w:sz w:val="24"/>
        </w:rPr>
        <w:t xml:space="preserve"> Only free/light endpoints were tested. Flagship tiers may raise ceilings; whether they repair constraint and locate floors remains an open empirical question.</w:t>
      </w:r>
    </w:p>
    <w:p>
      <w:pPr>
        <w:spacing w:line="480" w:lineRule="auto"/>
        <w:ind w:firstLine="720"/>
      </w:pPr>
      <w:r>
        <w:rPr>
          <w:rFonts w:ascii="Times New Roman" w:hAnsi="Times New Roman"/>
          <w:sz w:val="24"/>
        </w:rPr>
        <w:t xml:space="preserve">2. </w:t>
      </w:r>
      <w:r>
        <w:rPr>
          <w:rFonts w:ascii="Times New Roman" w:hAnsi="Times New Roman"/>
          <w:b/>
          <w:sz w:val="24"/>
        </w:rPr>
        <w:t>Single-sample decoding.</w:t>
      </w:r>
      <w:r>
        <w:rPr>
          <w:rFonts w:ascii="Times New Roman" w:hAnsi="Times New Roman"/>
          <w:sz w:val="24"/>
        </w:rPr>
        <w:t xml:space="preserve"> Default temperature single samples admit noise (~±2 points). Multi-sample self-consistency might change borderline bands.</w:t>
      </w:r>
    </w:p>
    <w:p>
      <w:pPr>
        <w:spacing w:line="480" w:lineRule="auto"/>
        <w:ind w:firstLine="720"/>
      </w:pPr>
      <w:r>
        <w:rPr>
          <w:rFonts w:ascii="Times New Roman" w:hAnsi="Times New Roman"/>
          <w:sz w:val="24"/>
        </w:rPr>
        <w:t xml:space="preserve">3. </w:t>
      </w:r>
      <w:r>
        <w:rPr>
          <w:rFonts w:ascii="Times New Roman" w:hAnsi="Times New Roman"/>
          <w:b/>
          <w:sz w:val="24"/>
        </w:rPr>
        <w:t>LLM-as-judge.</w:t>
      </w:r>
      <w:r>
        <w:rPr>
          <w:rFonts w:ascii="Times New Roman" w:hAnsi="Times New Roman"/>
          <w:sz w:val="24"/>
        </w:rPr>
        <w:t xml:space="preserve"> Rubric items depend on LLM judges; dual-judge evidence bounds but does not eliminate construct drift, especially for culture pragmatics.</w:t>
      </w:r>
    </w:p>
    <w:p>
      <w:pPr>
        <w:spacing w:line="480" w:lineRule="auto"/>
        <w:ind w:firstLine="720"/>
      </w:pPr>
      <w:r>
        <w:rPr>
          <w:rFonts w:ascii="Times New Roman" w:hAnsi="Times New Roman"/>
          <w:sz w:val="24"/>
        </w:rPr>
        <w:t xml:space="preserve">4. </w:t>
      </w:r>
      <w:r>
        <w:rPr>
          <w:rFonts w:ascii="Times New Roman" w:hAnsi="Times New Roman"/>
          <w:b/>
          <w:sz w:val="24"/>
        </w:rPr>
        <w:t>Contamination.</w:t>
      </w:r>
      <w:r>
        <w:rPr>
          <w:rFonts w:ascii="Times New Roman" w:hAnsi="Times New Roman"/>
          <w:sz w:val="24"/>
        </w:rPr>
        <w:t xml:space="preserve"> Public standards text may inflate some KNO items; we treat high KNO cautiously and emphasize low KNO/locate as informative.</w:t>
      </w:r>
    </w:p>
    <w:p>
      <w:pPr>
        <w:spacing w:line="480" w:lineRule="auto"/>
        <w:ind w:firstLine="720"/>
      </w:pPr>
      <w:r>
        <w:rPr>
          <w:rFonts w:ascii="Times New Roman" w:hAnsi="Times New Roman"/>
          <w:sz w:val="24"/>
        </w:rPr>
        <w:t xml:space="preserve">5. </w:t>
      </w:r>
      <w:r>
        <w:rPr>
          <w:rFonts w:ascii="Times New Roman" w:hAnsi="Times New Roman"/>
          <w:b/>
          <w:sz w:val="24"/>
        </w:rPr>
        <w:t>No classroom outcome trial.</w:t>
      </w:r>
      <w:r>
        <w:rPr>
          <w:rFonts w:ascii="Times New Roman" w:hAnsi="Times New Roman"/>
          <w:sz w:val="24"/>
        </w:rPr>
        <w:t xml:space="preserve"> Readiness/mechanism bands are workflow claims, not evidence of learner achievement gains.</w:t>
      </w:r>
    </w:p>
    <w:p>
      <w:pPr>
        <w:spacing w:line="480" w:lineRule="auto"/>
        <w:ind w:firstLine="720"/>
      </w:pPr>
      <w:r>
        <w:rPr>
          <w:rFonts w:ascii="Times New Roman" w:hAnsi="Times New Roman"/>
          <w:sz w:val="24"/>
        </w:rPr>
        <w:t xml:space="preserve">6. </w:t>
      </w:r>
      <w:r>
        <w:rPr>
          <w:rFonts w:ascii="Times New Roman" w:hAnsi="Times New Roman"/>
          <w:b/>
          <w:sz w:val="24"/>
        </w:rPr>
        <w:t>Language/domain specificity.</w:t>
      </w:r>
      <w:r>
        <w:rPr>
          <w:rFonts w:ascii="Times New Roman" w:hAnsi="Times New Roman"/>
          <w:sz w:val="24"/>
        </w:rPr>
        <w:t xml:space="preserve"> TCSoL standards ecology may not generalize to all educational GenAI settings; the mechanism hypotheses are portable, the percentages are local.</w:t>
      </w:r>
    </w:p>
    <w:p>
      <w:pPr>
        <w:spacing w:line="480" w:lineRule="auto"/>
        <w:ind w:firstLine="720"/>
      </w:pPr>
      <w:r>
        <w:rPr>
          <w:rFonts w:ascii="Times New Roman" w:hAnsi="Times New Roman"/>
          <w:sz w:val="24"/>
        </w:rPr>
        <w:t xml:space="preserve">7. </w:t>
      </w:r>
      <w:r>
        <w:rPr>
          <w:rFonts w:ascii="Times New Roman" w:hAnsi="Times New Roman"/>
          <w:b/>
          <w:sz w:val="24"/>
        </w:rPr>
        <w:t>Prompt brittleness.</w:t>
      </w:r>
      <w:r>
        <w:rPr>
          <w:rFonts w:ascii="Times New Roman" w:hAnsi="Times New Roman"/>
          <w:sz w:val="24"/>
        </w:rPr>
        <w:t xml:space="preserve"> Fixed prompts enable fairness across models but do not explore prompt optimization, tools, or agent workflows that might recruit missing mechanisms externally.</w:t>
      </w:r>
    </w:p>
    <w:p>
      <w:r>
        <w:rPr>
          <w:rFonts w:ascii="Times New Roman" w:hAnsi="Times New Roman"/>
          <w:b/>
          <w:sz w:val="28"/>
        </w:rPr>
        <w:t>7. Conclusions</w:t>
      </w:r>
    </w:p>
    <w:p>
      <w:pPr>
        <w:spacing w:line="480" w:lineRule="auto"/>
        <w:ind w:firstLine="720"/>
      </w:pPr>
      <w:r>
        <w:rPr>
          <w:rFonts w:ascii="Times New Roman" w:hAnsi="Times New Roman"/>
          <w:sz w:val="24"/>
        </w:rPr>
        <w:t>CC-Eval v1.0 evaluates free/light LLMs on 1,555 standards-anchored TCSoL workflow items and finds equal-weight totals of 33.4–46.7 with profound task dissociation: high culture/pragmatics mediation; selective scoring association with nontrivial bias; weak grade knowledge; systemic failure on level-controlled rewrite (≤15% pass) and standards-clause locating (≤8.9%); and preserved fluency on scenario drafting. Dual-judge reliability is moderate overall (*r* = 0.656) and task-dependent.</w:t>
      </w:r>
    </w:p>
    <w:p>
      <w:pPr>
        <w:spacing w:line="480" w:lineRule="auto"/>
        <w:ind w:firstLine="720"/>
      </w:pPr>
      <w:r>
        <w:rPr>
          <w:rFonts w:ascii="Times New Roman" w:hAnsi="Times New Roman"/>
          <w:sz w:val="24"/>
        </w:rPr>
        <w:t xml:space="preserve">Psychologically, we conclude that GenAI in this educational setting behaves as a </w:t>
      </w:r>
      <w:r>
        <w:rPr>
          <w:rFonts w:ascii="Times New Roman" w:hAnsi="Times New Roman"/>
          <w:b/>
          <w:sz w:val="24"/>
        </w:rPr>
        <w:t>bundle of dissociable mechanisms</w:t>
      </w:r>
      <w:r>
        <w:rPr>
          <w:rFonts w:ascii="Times New Roman" w:hAnsi="Times New Roman"/>
          <w:sz w:val="24"/>
        </w:rPr>
        <w:t>—not as a single teaching intelligence. Constraint satisfaction and standards-operational literacy are the weakest free/light mechanisms; pragmatic mediation is the strongest; evaluative judgment is intermediate and model-specific. Theory, measurement, and system design should target those mechanisms explicitly—externalizing tables, gating constraints, monitoring score bias, and keeping humans in the loop where authority and compliance matter.</w:t>
      </w:r>
    </w:p>
    <w:p>
      <w:r>
        <w:rPr>
          <w:rFonts w:ascii="Times New Roman" w:hAnsi="Times New Roman"/>
          <w:b/>
          <w:sz w:val="28"/>
        </w:rPr>
        <w:t>Data Availability Statement</w:t>
      </w:r>
    </w:p>
    <w:p>
      <w:pPr>
        <w:spacing w:line="480" w:lineRule="auto"/>
        <w:ind w:firstLine="720"/>
      </w:pPr>
      <w:r>
        <w:rPr>
          <w:rFonts w:ascii="Times New Roman" w:hAnsi="Times New Roman"/>
          <w:sz w:val="24"/>
        </w:rPr>
        <w:t>Public items, scorers, multimodel aggregates, confidence intervals, and dual-judge summaries are available at https://github.com/yudongxing999/cc-eval. Licensed HSK Dynamic Composition Corpus–linked stems are not redistributed; aggregates sufficient to reproduce the reported tables are included.</w:t>
      </w:r>
    </w:p>
    <w:p>
      <w:r>
        <w:rPr>
          <w:rFonts w:ascii="Times New Roman" w:hAnsi="Times New Roman"/>
          <w:b/>
          <w:sz w:val="28"/>
        </w:rPr>
        <w:t>Ethics Statement</w:t>
      </w:r>
    </w:p>
    <w:p>
      <w:pPr>
        <w:spacing w:line="480" w:lineRule="auto"/>
        <w:ind w:firstLine="720"/>
      </w:pPr>
      <w:r>
        <w:rPr>
          <w:rFonts w:ascii="Times New Roman" w:hAnsi="Times New Roman"/>
          <w:sz w:val="24"/>
        </w:rPr>
        <w:t>This research analyzes model outputs on a benchmark that includes secondary use of authorized learner-essay labels. No new human participants were recruited for the primary multimodel evaluation. The study does not provide clinical, legal, or high-stakes placement certification.</w:t>
      </w:r>
    </w:p>
    <w:p>
      <w:r>
        <w:rPr>
          <w:rFonts w:ascii="Times New Roman" w:hAnsi="Times New Roman"/>
          <w:b/>
          <w:sz w:val="28"/>
        </w:rPr>
        <w:t>Author Contributions</w:t>
      </w:r>
    </w:p>
    <w:p>
      <w:pPr>
        <w:spacing w:line="480" w:lineRule="auto"/>
        <w:ind w:firstLine="720"/>
      </w:pPr>
      <w:r>
        <w:rPr>
          <w:rFonts w:ascii="Times New Roman" w:hAnsi="Times New Roman"/>
          <w:sz w:val="24"/>
        </w:rPr>
        <w:t>Dongxing Yu: conceptualization; benchmark design; evaluation; analysis; writing.</w:t>
      </w:r>
    </w:p>
    <w:p>
      <w:r>
        <w:rPr>
          <w:rFonts w:ascii="Times New Roman" w:hAnsi="Times New Roman"/>
          <w:b/>
          <w:sz w:val="28"/>
        </w:rPr>
        <w:t>Conflict of Interest</w:t>
      </w:r>
    </w:p>
    <w:p>
      <w:pPr>
        <w:spacing w:line="480" w:lineRule="auto"/>
        <w:ind w:firstLine="720"/>
      </w:pPr>
      <w:r>
        <w:rPr>
          <w:rFonts w:ascii="Times New Roman" w:hAnsi="Times New Roman"/>
          <w:sz w:val="24"/>
        </w:rPr>
        <w:t>The author declares no commercial conflict of interest related to the evaluated vendors. API access used publicly available free/light tiers and documented platform routes.</w:t>
      </w:r>
    </w:p>
    <w:p>
      <w:r>
        <w:rPr>
          <w:rFonts w:ascii="Times New Roman" w:hAnsi="Times New Roman"/>
          <w:b/>
          <w:sz w:val="28"/>
        </w:rPr>
        <w:t>Funding</w:t>
      </w:r>
    </w:p>
    <w:p>
      <w:pPr>
        <w:spacing w:line="480" w:lineRule="auto"/>
        <w:ind w:firstLine="720"/>
      </w:pPr>
      <w:r>
        <w:rPr>
          <w:rFonts w:ascii="Times New Roman" w:hAnsi="Times New Roman"/>
          <w:sz w:val="24"/>
        </w:rPr>
        <w:t>None declared for the v1.0 free/light multimodel run.</w:t>
      </w:r>
    </w:p>
    <w:p>
      <w:r>
        <w:rPr>
          <w:rFonts w:ascii="Times New Roman" w:hAnsi="Times New Roman"/>
          <w:b/>
          <w:sz w:val="28"/>
        </w:rPr>
        <w:t>Acknowledgments</w:t>
      </w:r>
    </w:p>
    <w:p>
      <w:pPr>
        <w:spacing w:line="480" w:lineRule="auto"/>
        <w:ind w:firstLine="720"/>
      </w:pPr>
      <w:r>
        <w:rPr>
          <w:rFonts w:ascii="Times New Roman" w:hAnsi="Times New Roman"/>
          <w:sz w:val="24"/>
        </w:rPr>
        <w:t>We thank the maintainers of open educational standards documents and corpus resources that make standards-anchored evaluation possible. Errors are the author’s.</w:t>
      </w:r>
    </w:p>
    <w:p>
      <w:r>
        <w:rPr>
          <w:rFonts w:ascii="Times New Roman" w:hAnsi="Times New Roman"/>
          <w:b/>
          <w:sz w:val="28"/>
        </w:rPr>
        <w:t>References</w:t>
      </w:r>
    </w:p>
    <w:p>
      <w:pPr>
        <w:spacing w:line="480" w:lineRule="auto"/>
        <w:ind w:firstLine="720"/>
      </w:pPr>
      <w:r>
        <w:rPr>
          <w:rFonts w:ascii="Times New Roman" w:hAnsi="Times New Roman"/>
          <w:sz w:val="24"/>
        </w:rPr>
        <w:t>Byram, M. (1997). *Teaching and assessing intercultural communicative competence*. Multilingual Matters.</w:t>
      </w:r>
    </w:p>
    <w:p>
      <w:pPr>
        <w:spacing w:line="480" w:lineRule="auto"/>
        <w:ind w:firstLine="720"/>
      </w:pPr>
      <w:r>
        <w:rPr>
          <w:rFonts w:ascii="Times New Roman" w:hAnsi="Times New Roman"/>
          <w:sz w:val="24"/>
        </w:rPr>
        <w:t>Chang, Y., Wang, X., Wang, J., Wu, Y., Yang, L., Zhu, K., Chen, H., Yi, X., Wang, C., Wang, Y., Ye, W., Zhang, Y., Chang, Y., Yu, P. S., Yang, Q., &amp; Xie, X. (2024). A survey on evaluation of large language models. *ACM Transactions on Intelligent Systems and Technology*.</w:t>
      </w:r>
    </w:p>
    <w:p>
      <w:pPr>
        <w:spacing w:line="480" w:lineRule="auto"/>
        <w:ind w:firstLine="720"/>
      </w:pPr>
      <w:r>
        <w:rPr>
          <w:rFonts w:ascii="Times New Roman" w:hAnsi="Times New Roman"/>
          <w:sz w:val="24"/>
        </w:rPr>
        <w:t>Clark, R. C., &amp; Mayer, R. E. (2016). *E-learning and the science of instruction* (4th ed.). Wiley.</w:t>
      </w:r>
    </w:p>
    <w:p>
      <w:pPr>
        <w:spacing w:line="480" w:lineRule="auto"/>
        <w:ind w:firstLine="720"/>
      </w:pPr>
      <w:r>
        <w:rPr>
          <w:rFonts w:ascii="Times New Roman" w:hAnsi="Times New Roman"/>
          <w:sz w:val="24"/>
        </w:rPr>
        <w:t>Deardorff, D. K. (2006). Identification and assessment of intercultural competence as a student outcome of internationalization. *Journal of Studies in International Education, 10*(3), 241–266.</w:t>
      </w:r>
    </w:p>
    <w:p>
      <w:pPr>
        <w:spacing w:line="480" w:lineRule="auto"/>
        <w:ind w:firstLine="720"/>
      </w:pPr>
      <w:r>
        <w:rPr>
          <w:rFonts w:ascii="Times New Roman" w:hAnsi="Times New Roman"/>
          <w:sz w:val="24"/>
        </w:rPr>
        <w:t>Ericsson, K. A., &amp; Pool, R. (2016). *Peak: Secrets from the new science of expertise*. Houghton Mifflin Harcourt.</w:t>
      </w:r>
    </w:p>
    <w:p>
      <w:pPr>
        <w:spacing w:line="480" w:lineRule="auto"/>
        <w:ind w:firstLine="720"/>
      </w:pPr>
      <w:r>
        <w:rPr>
          <w:rFonts w:ascii="Times New Roman" w:hAnsi="Times New Roman"/>
          <w:sz w:val="24"/>
        </w:rPr>
        <w:t>Evans, J. St. B. T., &amp; Stanovich, K. E. (2013). Dual-process theories of higher cognition: Advancing the debate. *Perspectives on Psychological Science, 8*(3), 223–241.</w:t>
      </w:r>
    </w:p>
    <w:p>
      <w:pPr>
        <w:spacing w:line="480" w:lineRule="auto"/>
        <w:ind w:firstLine="720"/>
      </w:pPr>
      <w:r>
        <w:rPr>
          <w:rFonts w:ascii="Times New Roman" w:hAnsi="Times New Roman"/>
          <w:sz w:val="24"/>
        </w:rPr>
        <w:t>Gobet, F., Lane, P. C. R., Croker, S., Cheng, P. C.-H., Jones, G., Oliver, I., &amp; Pine, J. M. (2001). Chunking mechanisms in human learning. *Trends in Cognitive Sciences, 5*(6), 236–243.</w:t>
      </w:r>
    </w:p>
    <w:p>
      <w:pPr>
        <w:spacing w:line="480" w:lineRule="auto"/>
        <w:ind w:firstLine="720"/>
      </w:pPr>
      <w:r>
        <w:rPr>
          <w:rFonts w:ascii="Times New Roman" w:hAnsi="Times New Roman"/>
          <w:sz w:val="24"/>
        </w:rPr>
        <w:t>Holstein, K., McLaren, B. M., &amp; Aleven, V. (2020). Student learning benefits of a mixed-reality teacher awareness tool in AI-enhanced classrooms. In *Artificial Intelligence in Education*.</w:t>
      </w:r>
    </w:p>
    <w:p>
      <w:pPr>
        <w:spacing w:line="480" w:lineRule="auto"/>
        <w:ind w:firstLine="720"/>
      </w:pPr>
      <w:r>
        <w:rPr>
          <w:rFonts w:ascii="Times New Roman" w:hAnsi="Times New Roman"/>
          <w:sz w:val="24"/>
        </w:rPr>
        <w:t>Hou, Z., et al. (2024). E-EVAL: A comprehensive Chinese K-12 education evaluation benchmark for large language models. *arXiv preprint*.</w:t>
      </w:r>
    </w:p>
    <w:p>
      <w:pPr>
        <w:spacing w:line="480" w:lineRule="auto"/>
        <w:ind w:firstLine="720"/>
      </w:pPr>
      <w:r>
        <w:rPr>
          <w:rFonts w:ascii="Times New Roman" w:hAnsi="Times New Roman"/>
          <w:sz w:val="24"/>
        </w:rPr>
        <w:t>Huang, Y., Bai, Y., Zhu, Z., et al. (2023). C-Eval: A multi-level multi-discipline Chinese evaluation suite for foundation models. *NeurIPS Datasets and Benchmarks*.</w:t>
      </w:r>
    </w:p>
    <w:p>
      <w:pPr>
        <w:spacing w:line="480" w:lineRule="auto"/>
        <w:ind w:firstLine="720"/>
      </w:pPr>
      <w:r>
        <w:rPr>
          <w:rFonts w:ascii="Times New Roman" w:hAnsi="Times New Roman"/>
          <w:sz w:val="24"/>
        </w:rPr>
        <w:t>Hutchins, E. (1995). *Cognition in the wild*. MIT Press.</w:t>
      </w:r>
    </w:p>
    <w:p>
      <w:pPr>
        <w:spacing w:line="480" w:lineRule="auto"/>
        <w:ind w:firstLine="720"/>
      </w:pPr>
      <w:r>
        <w:rPr>
          <w:rFonts w:ascii="Times New Roman" w:hAnsi="Times New Roman"/>
          <w:sz w:val="24"/>
        </w:rPr>
        <w:t>Kahneman, D. (2011). *Thinking, fast and slow*. Farrar, Straus and Giroux.</w:t>
      </w:r>
    </w:p>
    <w:p>
      <w:pPr>
        <w:spacing w:line="480" w:lineRule="auto"/>
        <w:ind w:firstLine="720"/>
      </w:pPr>
      <w:r>
        <w:rPr>
          <w:rFonts w:ascii="Times New Roman" w:hAnsi="Times New Roman"/>
          <w:sz w:val="24"/>
        </w:rPr>
        <w:t>Kane, M. T. (2013). Validating the interpretations and uses of test scores. *Journal of Educational Measurement, 50*(1), 1–73.</w:t>
      </w:r>
    </w:p>
    <w:p>
      <w:pPr>
        <w:spacing w:line="480" w:lineRule="auto"/>
        <w:ind w:firstLine="720"/>
      </w:pPr>
      <w:r>
        <w:rPr>
          <w:rFonts w:ascii="Times New Roman" w:hAnsi="Times New Roman"/>
          <w:sz w:val="24"/>
        </w:rPr>
        <w:t>Kasneci, E., et al. (2023). ChatGPT for good? On opportunities and challenges of large language models for education. *Learning and Individual Differences, 103*, 102274.</w:t>
      </w:r>
    </w:p>
    <w:p>
      <w:pPr>
        <w:spacing w:line="480" w:lineRule="auto"/>
        <w:ind w:firstLine="720"/>
      </w:pPr>
      <w:r>
        <w:rPr>
          <w:rFonts w:ascii="Times New Roman" w:hAnsi="Times New Roman"/>
          <w:sz w:val="24"/>
        </w:rPr>
        <w:t>Kirschner, P. A., Sweller, J., &amp; Clark, R. E. (2006). Why minimal guidance during instruction does not work. *Educational Psychologist, 41*(2), 75–86.</w:t>
      </w:r>
    </w:p>
    <w:p>
      <w:pPr>
        <w:spacing w:line="480" w:lineRule="auto"/>
        <w:ind w:firstLine="720"/>
      </w:pPr>
      <w:r>
        <w:rPr>
          <w:rFonts w:ascii="Times New Roman" w:hAnsi="Times New Roman"/>
          <w:sz w:val="24"/>
        </w:rPr>
        <w:t>Krashen, S. D. (1985). *The input hypothesis*. Longman.</w:t>
      </w:r>
    </w:p>
    <w:p>
      <w:pPr>
        <w:spacing w:line="480" w:lineRule="auto"/>
        <w:ind w:firstLine="720"/>
      </w:pPr>
      <w:r>
        <w:rPr>
          <w:rFonts w:ascii="Times New Roman" w:hAnsi="Times New Roman"/>
          <w:sz w:val="24"/>
        </w:rPr>
        <w:t>Molenaar, I. (2022). Towards hybrid human-AI learning technologies. *European Journal of Education, 57*(4), 632–645.</w:t>
      </w:r>
    </w:p>
    <w:p>
      <w:pPr>
        <w:spacing w:line="480" w:lineRule="auto"/>
        <w:ind w:firstLine="720"/>
      </w:pPr>
      <w:r>
        <w:rPr>
          <w:rFonts w:ascii="Times New Roman" w:hAnsi="Times New Roman"/>
          <w:sz w:val="24"/>
        </w:rPr>
        <w:t>Pack, A., Barrett, A., &amp; Escalante, J. (2024). Large language models and automated writing evaluation: Reliability, validity, and fairness concerns. *Assessing Writing*.</w:t>
      </w:r>
    </w:p>
    <w:p>
      <w:pPr>
        <w:spacing w:line="480" w:lineRule="auto"/>
        <w:ind w:firstLine="720"/>
      </w:pPr>
      <w:r>
        <w:rPr>
          <w:rFonts w:ascii="Times New Roman" w:hAnsi="Times New Roman"/>
          <w:sz w:val="24"/>
        </w:rPr>
        <w:t>Parasuraman, R., &amp; Riley, V. (1997). Humans and automation: Use, misuse, disuse, abuse. *Human Factors, 39*(2), 230–253.</w:t>
      </w:r>
    </w:p>
    <w:p>
      <w:pPr>
        <w:spacing w:line="480" w:lineRule="auto"/>
        <w:ind w:firstLine="720"/>
      </w:pPr>
      <w:r>
        <w:rPr>
          <w:rFonts w:ascii="Times New Roman" w:hAnsi="Times New Roman"/>
          <w:sz w:val="24"/>
        </w:rPr>
        <w:t>Popham, W. J. (2001). Teaching to the test? *Educational Leadership, 58*(6), 16–20.</w:t>
      </w:r>
    </w:p>
    <w:p>
      <w:pPr>
        <w:spacing w:line="480" w:lineRule="auto"/>
        <w:ind w:firstLine="720"/>
      </w:pPr>
      <w:r>
        <w:rPr>
          <w:rFonts w:ascii="Times New Roman" w:hAnsi="Times New Roman"/>
          <w:sz w:val="24"/>
        </w:rPr>
        <w:t>Ranalli, J., Link, S., &amp; Chukharev-Hudilainen, E. (2017). Automated writing evaluation for formative assessment of second language writing: Interfacing with the construct. *Assessing Writing, 34*, 39–47.</w:t>
      </w:r>
    </w:p>
    <w:p>
      <w:pPr>
        <w:spacing w:line="480" w:lineRule="auto"/>
        <w:ind w:firstLine="720"/>
      </w:pPr>
      <w:r>
        <w:rPr>
          <w:rFonts w:ascii="Times New Roman" w:hAnsi="Times New Roman"/>
          <w:sz w:val="24"/>
        </w:rPr>
        <w:t>Sung, Y.-T., Lin, W.-C., Dyson, S. B., Chang, K.-E., &amp; Chen, Y.-C. (2015). Leveling L2 texts through readability: Combining multilevel linguistic features with the CEFR. *The Modern Language Journal, 99*(2), 371–391.</w:t>
      </w:r>
    </w:p>
    <w:p>
      <w:pPr>
        <w:spacing w:line="480" w:lineRule="auto"/>
        <w:ind w:firstLine="720"/>
      </w:pPr>
      <w:r>
        <w:rPr>
          <w:rFonts w:ascii="Times New Roman" w:hAnsi="Times New Roman"/>
          <w:sz w:val="24"/>
        </w:rPr>
        <w:t>Sweller, J. (2011). Cognitive load theory. *Psychology of Learning and Motivation, 55*, 37–76.</w:t>
      </w:r>
    </w:p>
    <w:p>
      <w:pPr>
        <w:spacing w:line="480" w:lineRule="auto"/>
        <w:ind w:firstLine="720"/>
      </w:pPr>
      <w:r>
        <w:rPr>
          <w:rFonts w:ascii="Times New Roman" w:hAnsi="Times New Roman"/>
          <w:sz w:val="24"/>
        </w:rPr>
        <w:t>Sweller, J., van Merriënboer, J. J. G., &amp; Paas, F. (2019). Cognitive architecture and instructional design: 20 years later. *Educational Psychology Review, 31*, 261–292.</w:t>
      </w:r>
    </w:p>
    <w:p>
      <w:pPr>
        <w:spacing w:line="480" w:lineRule="auto"/>
        <w:ind w:firstLine="720"/>
      </w:pPr>
      <w:r>
        <w:rPr>
          <w:rFonts w:ascii="Times New Roman" w:hAnsi="Times New Roman"/>
          <w:sz w:val="24"/>
        </w:rPr>
        <w:t>Wang, S., Xu, T., Li, H., Zhang, C., Liang, J., Tang, J., Yu, P. S., &amp; Wen, Q. (2024). Large language models for education: A survey and outlook. *arXiv preprint* arXiv:2405.16645.</w:t>
      </w:r>
    </w:p>
    <w:p>
      <w:pPr>
        <w:spacing w:line="480" w:lineRule="auto"/>
        <w:ind w:firstLine="720"/>
      </w:pPr>
      <w:r>
        <w:rPr>
          <w:rFonts w:ascii="Times New Roman" w:hAnsi="Times New Roman"/>
          <w:sz w:val="24"/>
        </w:rPr>
        <w:t>Wiliam, D. (2011). What is assessment for learning? *Studies in Educational Evaluation, 37*(1), 3–14.</w:t>
      </w:r>
    </w:p>
    <w:p>
      <w:pPr>
        <w:spacing w:line="480" w:lineRule="auto"/>
        <w:ind w:firstLine="720"/>
      </w:pPr>
      <w:r>
        <w:rPr>
          <w:rFonts w:ascii="Times New Roman" w:hAnsi="Times New Roman"/>
          <w:sz w:val="24"/>
        </w:rPr>
        <w:t>Wilson, J., &amp; Huang, Y. (2024). Validity of automated essay scores for elementary-age English language learners: Evidence of bias? *Assessing Writing*.</w:t>
      </w:r>
    </w:p>
    <w:p>
      <w:pPr>
        <w:spacing w:line="480" w:lineRule="auto"/>
        <w:ind w:firstLine="720"/>
      </w:pPr>
      <w:r>
        <w:rPr>
          <w:rFonts w:ascii="Times New Roman" w:hAnsi="Times New Roman"/>
          <w:sz w:val="24"/>
        </w:rPr>
        <w:t>Winne, P. H., &amp; Hadwin, A. F. (1998). Studying as self-regulated learning. In D. J. Hacker, J. Dunlosky, &amp; A. C. Graesser (Eds.), *Metacognition in educational theory and practice*. Erlbaum.</w:t>
      </w:r>
    </w:p>
    <w:p>
      <w:pPr>
        <w:spacing w:line="480" w:lineRule="auto"/>
        <w:ind w:firstLine="720"/>
      </w:pPr>
      <w:r>
        <w:rPr>
          <w:rFonts w:ascii="Times New Roman" w:hAnsi="Times New Roman"/>
          <w:sz w:val="24"/>
        </w:rPr>
        <w:t>Wu, S., Yu, D., &amp; Jiang, X. (2020). Construction and validation of a Chinese text readability feature system. *Chinese Teaching in the World*.</w:t>
      </w:r>
    </w:p>
    <w:p>
      <w:pPr>
        <w:spacing w:line="480" w:lineRule="auto"/>
        <w:ind w:firstLine="720"/>
      </w:pPr>
      <w:r>
        <w:rPr>
          <w:rFonts w:ascii="Times New Roman" w:hAnsi="Times New Roman"/>
          <w:sz w:val="24"/>
        </w:rPr>
        <w:t>Xia, M., Kochmar, E., &amp; Briscoe, T. (2016). Text readability assessment for second language learners. In *Proceedings of BEA*.</w:t>
      </w:r>
    </w:p>
    <w:p>
      <w:pPr>
        <w:spacing w:line="480" w:lineRule="auto"/>
        <w:ind w:firstLine="720"/>
      </w:pPr>
      <w:r>
        <w:rPr>
          <w:rFonts w:ascii="Times New Roman" w:hAnsi="Times New Roman"/>
          <w:sz w:val="24"/>
        </w:rPr>
        <w:t>Zhang, X., Li, C., Zong, Y., Ying, Z., He, L., &amp; Qiu, X. (2023). Evaluating the performance of large language models on GAOKAO benchmark. *arXiv preprint* arXiv:2305.12474.</w:t>
      </w:r>
    </w:p>
    <w:p>
      <w:pPr>
        <w:spacing w:line="480" w:lineRule="auto"/>
        <w:ind w:firstLine="720"/>
      </w:pPr>
      <w:r>
        <w:rPr>
          <w:rFonts w:ascii="Times New Roman" w:hAnsi="Times New Roman"/>
          <w:sz w:val="24"/>
        </w:rPr>
        <w:t>Zimmerman, B. J. (2002). Becoming a self-regulated learner: An overview. *Theory Into Practice, 41*(2), 64–70.</w:t>
      </w:r>
    </w:p>
    <w:p>
      <w:pPr>
        <w:spacing w:line="480" w:lineRule="auto"/>
        <w:ind w:firstLine="720"/>
      </w:pPr>
      <w:r>
        <w:rPr>
          <w:rFonts w:ascii="Times New Roman" w:hAnsi="Times New Roman"/>
          <w:sz w:val="24"/>
        </w:rPr>
        <w:t>Yu, D. (2026). CC-Eval: A standards-anchored benchmark for evaluating large language models in international Chinese language education. GitHub repository. https://github.com/yudongxing999/cc-eval</w:t>
      </w:r>
    </w:p>
    <w:p>
      <w:pPr>
        <w:spacing w:line="480" w:lineRule="auto"/>
        <w:ind w:firstLine="720"/>
      </w:pPr>
      <w:r>
        <w:rPr>
          <w:rFonts w:ascii="Times New Roman" w:hAnsi="Times New Roman"/>
          <w:sz w:val="24"/>
        </w:rPr>
        <w:t>Anderson, J. R. (1982). Acquisition of cognitive skill. *Psychological Review, 89*(4), 369–406.</w:t>
      </w:r>
    </w:p>
    <w:p>
      <w:pPr>
        <w:spacing w:line="480" w:lineRule="auto"/>
        <w:ind w:firstLine="720"/>
      </w:pPr>
      <w:r>
        <w:rPr>
          <w:rFonts w:ascii="Times New Roman" w:hAnsi="Times New Roman"/>
          <w:sz w:val="24"/>
        </w:rPr>
        <w:t>Chi, M. T. H., Feltovich, P. J., &amp; Glaser, R. (1981). Categorization and representation of physics problems by experts and novices. *Cognitive Science, 5*(2), 121–152.</w:t>
      </w:r>
    </w:p>
    <w:p>
      <w:pPr>
        <w:spacing w:line="480" w:lineRule="auto"/>
        <w:ind w:firstLine="720"/>
      </w:pPr>
      <w:r>
        <w:rPr>
          <w:rFonts w:ascii="Times New Roman" w:hAnsi="Times New Roman"/>
          <w:sz w:val="24"/>
        </w:rPr>
        <w:t>Deci, E. L., &amp; Ryan, R. M. (2000). The “what” and “why” of goal pursuits: Human needs and the self-determination of behavior. *Psychological Inquiry, 11*(4), 227–268.</w:t>
      </w:r>
    </w:p>
    <w:p>
      <w:pPr>
        <w:spacing w:line="480" w:lineRule="auto"/>
        <w:ind w:firstLine="720"/>
      </w:pPr>
      <w:r>
        <w:rPr>
          <w:rFonts w:ascii="Times New Roman" w:hAnsi="Times New Roman"/>
          <w:sz w:val="24"/>
        </w:rPr>
        <w:t>Flavell, J. H. (1979). Metacognition and cognitive monitoring. *American Psychologist, 34*(10), 906–911.</w:t>
      </w:r>
    </w:p>
    <w:p>
      <w:pPr>
        <w:spacing w:line="480" w:lineRule="auto"/>
        <w:ind w:firstLine="720"/>
      </w:pPr>
      <w:r>
        <w:rPr>
          <w:rFonts w:ascii="Times New Roman" w:hAnsi="Times New Roman"/>
          <w:sz w:val="24"/>
        </w:rPr>
        <w:t>Gick, M. L., &amp; Holyoak, K. J. (1980). Analogical problem solving. *Cognitive Psychology, 12*(3), 306–355.</w:t>
      </w:r>
    </w:p>
    <w:p>
      <w:pPr>
        <w:spacing w:line="480" w:lineRule="auto"/>
        <w:ind w:firstLine="720"/>
      </w:pPr>
      <w:r>
        <w:rPr>
          <w:rFonts w:ascii="Times New Roman" w:hAnsi="Times New Roman"/>
          <w:sz w:val="24"/>
        </w:rPr>
        <w:t>Hattie, J., &amp; Timperley, H. (2007). The power of feedback. *Review of Educational Research, 77*(1), 81–112.</w:t>
      </w:r>
    </w:p>
    <w:p>
      <w:pPr>
        <w:spacing w:line="480" w:lineRule="auto"/>
        <w:ind w:firstLine="720"/>
      </w:pPr>
      <w:r>
        <w:rPr>
          <w:rFonts w:ascii="Times New Roman" w:hAnsi="Times New Roman"/>
          <w:sz w:val="24"/>
        </w:rPr>
        <w:t>Lee, J. D., &amp; See, K. A. (2004). Trust in automation: Designing for appropriate reliance. *Human Factors, 46*(1), 50–80.</w:t>
      </w:r>
    </w:p>
    <w:p>
      <w:pPr>
        <w:spacing w:line="480" w:lineRule="auto"/>
        <w:ind w:firstLine="720"/>
      </w:pPr>
      <w:r>
        <w:rPr>
          <w:rFonts w:ascii="Times New Roman" w:hAnsi="Times New Roman"/>
          <w:sz w:val="24"/>
        </w:rPr>
        <w:t>Messick, S. (1995). Validity of psychological assessment. *American Psychologist, 50*(9), 741–749.</w:t>
      </w:r>
    </w:p>
    <w:p>
      <w:r>
        <w:rPr>
          <w:rFonts w:ascii="Times New Roman" w:hAnsi="Times New Roman"/>
          <w:b/>
          <w:sz w:val="28"/>
        </w:rPr>
        <w:t>Appendix A. Task definitions (concise)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0"/>
              </w:rPr>
              <w:t>Task</w:t>
            </w:r>
          </w:p>
        </w:tc>
        <w:tc>
          <w:tcPr>
            <w:tcW w:type="dxa" w:w="2160"/>
          </w:tcPr>
          <w:p>
            <w:r>
              <w:rPr>
                <w:rFonts w:ascii="Times New Roman" w:hAnsi="Times New Roman"/>
                <w:b/>
                <w:sz w:val="20"/>
              </w:rPr>
              <w:t>Construct</w:t>
            </w:r>
          </w:p>
        </w:tc>
        <w:tc>
          <w:tcPr>
            <w:tcW w:type="dxa" w:w="2160"/>
          </w:tcPr>
          <w:p>
            <w:r>
              <w:rPr>
                <w:rFonts w:ascii="Times New Roman" w:hAnsi="Times New Roman"/>
                <w:b/>
                <w:sz w:val="20"/>
              </w:rPr>
              <w:t>Gold / constraint</w:t>
            </w:r>
          </w:p>
        </w:tc>
        <w:tc>
          <w:tcPr>
            <w:tcW w:type="dxa" w:w="2160"/>
          </w:tcPr>
          <w:p>
            <w:r>
              <w:rPr>
                <w:rFonts w:ascii="Times New Roman" w:hAnsi="Times New Roman"/>
                <w:b/>
                <w:sz w:val="20"/>
              </w:rPr>
              <w:t>Primary mechanism</w:t>
            </w:r>
          </w:p>
        </w:tc>
      </w:tr>
      <w:tr>
        <w:tc>
          <w:tcPr>
            <w:tcW w:type="dxa" w:w="2160"/>
          </w:tcPr>
          <w:p>
            <w:r>
              <w:rPr>
                <w:rFonts w:ascii="Times New Roman" w:hAnsi="Times New Roman"/>
                <w:sz w:val="20"/>
              </w:rPr>
              <w:t>KNO</w:t>
            </w:r>
          </w:p>
        </w:tc>
        <w:tc>
          <w:tcPr>
            <w:tcW w:type="dxa" w:w="2160"/>
          </w:tcPr>
          <w:p>
            <w:r>
              <w:rPr>
                <w:rFonts w:ascii="Times New Roman" w:hAnsi="Times New Roman"/>
                <w:sz w:val="20"/>
              </w:rPr>
              <w:t>Grade membership under GF 0025</w:t>
            </w:r>
          </w:p>
        </w:tc>
        <w:tc>
          <w:tcPr>
            <w:tcW w:type="dxa" w:w="2160"/>
          </w:tcPr>
          <w:p>
            <w:r>
              <w:rPr>
                <w:rFonts w:ascii="Times New Roman" w:hAnsi="Times New Roman"/>
                <w:sz w:val="20"/>
              </w:rPr>
              <w:t>Standards tables</w:t>
            </w:r>
          </w:p>
        </w:tc>
        <w:tc>
          <w:tcPr>
            <w:tcW w:type="dxa" w:w="2160"/>
          </w:tcPr>
          <w:p>
            <w:r>
              <w:rPr>
                <w:rFonts w:ascii="Times New Roman" w:hAnsi="Times New Roman"/>
                <w:sz w:val="20"/>
              </w:rPr>
              <w:t>Parametric standards memory</w:t>
            </w:r>
          </w:p>
        </w:tc>
      </w:tr>
      <w:tr>
        <w:tc>
          <w:tcPr>
            <w:tcW w:type="dxa" w:w="2160"/>
          </w:tcPr>
          <w:p>
            <w:r>
              <w:rPr>
                <w:rFonts w:ascii="Times New Roman" w:hAnsi="Times New Roman"/>
                <w:sz w:val="20"/>
              </w:rPr>
              <w:t>ERR</w:t>
            </w:r>
          </w:p>
        </w:tc>
        <w:tc>
          <w:tcPr>
            <w:tcW w:type="dxa" w:w="2160"/>
          </w:tcPr>
          <w:p>
            <w:r>
              <w:rPr>
                <w:rFonts w:ascii="Times New Roman" w:hAnsi="Times New Roman"/>
                <w:sz w:val="20"/>
              </w:rPr>
              <w:t>Learner error detection/attribution</w:t>
            </w:r>
          </w:p>
        </w:tc>
        <w:tc>
          <w:tcPr>
            <w:tcW w:type="dxa" w:w="2160"/>
          </w:tcPr>
          <w:p>
            <w:r>
              <w:rPr>
                <w:rFonts w:ascii="Times New Roman" w:hAnsi="Times New Roman"/>
                <w:sz w:val="20"/>
              </w:rPr>
              <w:t>Annotated learner language</w:t>
            </w:r>
          </w:p>
        </w:tc>
        <w:tc>
          <w:tcPr>
            <w:tcW w:type="dxa" w:w="2160"/>
          </w:tcPr>
          <w:p>
            <w:r>
              <w:rPr>
                <w:rFonts w:ascii="Times New Roman" w:hAnsi="Times New Roman"/>
                <w:sz w:val="20"/>
              </w:rPr>
              <w:t>Diagnostic categorization</w:t>
            </w:r>
          </w:p>
        </w:tc>
      </w:tr>
      <w:tr>
        <w:tc>
          <w:tcPr>
            <w:tcW w:type="dxa" w:w="2160"/>
          </w:tcPr>
          <w:p>
            <w:r>
              <w:rPr>
                <w:rFonts w:ascii="Times New Roman" w:hAnsi="Times New Roman"/>
                <w:sz w:val="20"/>
              </w:rPr>
              <w:t>SCO</w:t>
            </w:r>
          </w:p>
        </w:tc>
        <w:tc>
          <w:tcPr>
            <w:tcW w:type="dxa" w:w="2160"/>
          </w:tcPr>
          <w:p>
            <w:r>
              <w:rPr>
                <w:rFonts w:ascii="Times New Roman" w:hAnsi="Times New Roman"/>
                <w:sz w:val="20"/>
              </w:rPr>
              <w:t>Essay scoring vs human labels</w:t>
            </w:r>
          </w:p>
        </w:tc>
        <w:tc>
          <w:tcPr>
            <w:tcW w:type="dxa" w:w="2160"/>
          </w:tcPr>
          <w:p>
            <w:r>
              <w:rPr>
                <w:rFonts w:ascii="Times New Roman" w:hAnsi="Times New Roman"/>
                <w:sz w:val="20"/>
              </w:rPr>
              <w:t>HSK Dynamic Composition Corpus</w:t>
            </w:r>
          </w:p>
        </w:tc>
        <w:tc>
          <w:tcPr>
            <w:tcW w:type="dxa" w:w="2160"/>
          </w:tcPr>
          <w:p>
            <w:r>
              <w:rPr>
                <w:rFonts w:ascii="Times New Roman" w:hAnsi="Times New Roman"/>
                <w:sz w:val="20"/>
              </w:rPr>
              <w:t>Evaluative judgment</w:t>
            </w:r>
          </w:p>
        </w:tc>
      </w:tr>
      <w:tr>
        <w:tc>
          <w:tcPr>
            <w:tcW w:type="dxa" w:w="2160"/>
          </w:tcPr>
          <w:p>
            <w:r>
              <w:rPr>
                <w:rFonts w:ascii="Times New Roman" w:hAnsi="Times New Roman"/>
                <w:sz w:val="20"/>
              </w:rPr>
              <w:t>GEN</w:t>
            </w:r>
          </w:p>
        </w:tc>
        <w:tc>
          <w:tcPr>
            <w:tcW w:type="dxa" w:w="2160"/>
          </w:tcPr>
          <w:p>
            <w:r>
              <w:rPr>
                <w:rFonts w:ascii="Times New Roman" w:hAnsi="Times New Roman"/>
                <w:sz w:val="20"/>
              </w:rPr>
              <w:t>Constrained teaching generation</w:t>
            </w:r>
          </w:p>
        </w:tc>
        <w:tc>
          <w:tcPr>
            <w:tcW w:type="dxa" w:w="2160"/>
          </w:tcPr>
          <w:p>
            <w:r>
              <w:rPr>
                <w:rFonts w:ascii="Times New Roman" w:hAnsi="Times New Roman"/>
                <w:sz w:val="20"/>
              </w:rPr>
              <w:t>Grade lexicons; rewrite pass</w:t>
            </w:r>
          </w:p>
        </w:tc>
        <w:tc>
          <w:tcPr>
            <w:tcW w:type="dxa" w:w="2160"/>
          </w:tcPr>
          <w:p>
            <w:r>
              <w:rPr>
                <w:rFonts w:ascii="Times New Roman" w:hAnsi="Times New Roman"/>
                <w:sz w:val="20"/>
              </w:rPr>
              <w:t>Constraint satisfaction</w:t>
            </w:r>
          </w:p>
        </w:tc>
      </w:tr>
      <w:tr>
        <w:tc>
          <w:tcPr>
            <w:tcW w:type="dxa" w:w="2160"/>
          </w:tcPr>
          <w:p>
            <w:r>
              <w:rPr>
                <w:rFonts w:ascii="Times New Roman" w:hAnsi="Times New Roman"/>
                <w:sz w:val="20"/>
              </w:rPr>
              <w:t>CUL</w:t>
            </w:r>
          </w:p>
        </w:tc>
        <w:tc>
          <w:tcPr>
            <w:tcW w:type="dxa" w:w="2160"/>
          </w:tcPr>
          <w:p>
            <w:r>
              <w:rPr>
                <w:rFonts w:ascii="Times New Roman" w:hAnsi="Times New Roman"/>
                <w:sz w:val="20"/>
              </w:rPr>
              <w:t>Culture/pragmatics Q&amp;A</w:t>
            </w:r>
          </w:p>
        </w:tc>
        <w:tc>
          <w:tcPr>
            <w:tcW w:type="dxa" w:w="2160"/>
          </w:tcPr>
          <w:p>
            <w:r>
              <w:rPr>
                <w:rFonts w:ascii="Times New Roman" w:hAnsi="Times New Roman"/>
                <w:sz w:val="20"/>
              </w:rPr>
              <w:t>Culture-teaching framework anchors</w:t>
            </w:r>
          </w:p>
        </w:tc>
        <w:tc>
          <w:tcPr>
            <w:tcW w:type="dxa" w:w="2160"/>
          </w:tcPr>
          <w:p>
            <w:r>
              <w:rPr>
                <w:rFonts w:ascii="Times New Roman" w:hAnsi="Times New Roman"/>
                <w:sz w:val="20"/>
              </w:rPr>
              <w:t>Pragmatic mediation</w:t>
            </w:r>
          </w:p>
        </w:tc>
      </w:tr>
      <w:tr>
        <w:tc>
          <w:tcPr>
            <w:tcW w:type="dxa" w:w="2160"/>
          </w:tcPr>
          <w:p>
            <w:r>
              <w:rPr>
                <w:rFonts w:ascii="Times New Roman" w:hAnsi="Times New Roman"/>
                <w:sz w:val="20"/>
              </w:rPr>
              <w:t>PED</w:t>
            </w:r>
          </w:p>
        </w:tc>
        <w:tc>
          <w:tcPr>
            <w:tcW w:type="dxa" w:w="2160"/>
          </w:tcPr>
          <w:p>
            <w:r>
              <w:rPr>
                <w:rFonts w:ascii="Times New Roman" w:hAnsi="Times New Roman"/>
                <w:sz w:val="20"/>
              </w:rPr>
              <w:t>Clause locate + scenario draft</w:t>
            </w:r>
          </w:p>
        </w:tc>
        <w:tc>
          <w:tcPr>
            <w:tcW w:type="dxa" w:w="2160"/>
          </w:tcPr>
          <w:p>
            <w:r>
              <w:rPr>
                <w:rFonts w:ascii="Times New Roman" w:hAnsi="Times New Roman"/>
                <w:sz w:val="20"/>
              </w:rPr>
              <w:t>Textbook/teacher/vocational standards</w:t>
            </w:r>
          </w:p>
        </w:tc>
        <w:tc>
          <w:tcPr>
            <w:tcW w:type="dxa" w:w="2160"/>
          </w:tcPr>
          <w:p>
            <w:r>
              <w:rPr>
                <w:rFonts w:ascii="Times New Roman" w:hAnsi="Times New Roman"/>
                <w:sz w:val="20"/>
              </w:rPr>
              <w:t>Standards literacy vs generative fluency</w:t>
            </w:r>
          </w:p>
        </w:tc>
      </w:tr>
    </w:tbl>
    <w:p/>
    <w:p>
      <w:r>
        <w:rPr>
          <w:rFonts w:ascii="Times New Roman" w:hAnsi="Times New Roman"/>
          <w:b/>
          <w:sz w:val="28"/>
        </w:rPr>
        <w:t>Appendix B. Leaderboard snapshot (equal-weight totals)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rFonts w:ascii="Times New Roman" w:hAnsi="Times New Roman"/>
                <w:b/>
                <w:sz w:val="20"/>
              </w:rPr>
              <w:t>Model (short name)</w:t>
            </w:r>
          </w:p>
        </w:tc>
        <w:tc>
          <w:tcPr>
            <w:tcW w:type="dxa" w:w="1080"/>
          </w:tcPr>
          <w:p>
            <w:r>
              <w:rPr>
                <w:rFonts w:ascii="Times New Roman" w:hAnsi="Times New Roman"/>
                <w:b/>
                <w:sz w:val="20"/>
              </w:rPr>
              <w:t>Total</w:t>
            </w:r>
          </w:p>
        </w:tc>
        <w:tc>
          <w:tcPr>
            <w:tcW w:type="dxa" w:w="1080"/>
          </w:tcPr>
          <w:p>
            <w:r>
              <w:rPr>
                <w:rFonts w:ascii="Times New Roman" w:hAnsi="Times New Roman"/>
                <w:b/>
                <w:sz w:val="20"/>
              </w:rPr>
              <w:t>KNO</w:t>
            </w:r>
          </w:p>
        </w:tc>
        <w:tc>
          <w:tcPr>
            <w:tcW w:type="dxa" w:w="1080"/>
          </w:tcPr>
          <w:p>
            <w:r>
              <w:rPr>
                <w:rFonts w:ascii="Times New Roman" w:hAnsi="Times New Roman"/>
                <w:b/>
                <w:sz w:val="20"/>
              </w:rPr>
              <w:t>ERR</w:t>
            </w:r>
          </w:p>
        </w:tc>
        <w:tc>
          <w:tcPr>
            <w:tcW w:type="dxa" w:w="1080"/>
          </w:tcPr>
          <w:p>
            <w:r>
              <w:rPr>
                <w:rFonts w:ascii="Times New Roman" w:hAnsi="Times New Roman"/>
                <w:b/>
                <w:sz w:val="20"/>
              </w:rPr>
              <w:t>SCO</w:t>
            </w:r>
          </w:p>
        </w:tc>
        <w:tc>
          <w:tcPr>
            <w:tcW w:type="dxa" w:w="1080"/>
          </w:tcPr>
          <w:p>
            <w:r>
              <w:rPr>
                <w:rFonts w:ascii="Times New Roman" w:hAnsi="Times New Roman"/>
                <w:b/>
                <w:sz w:val="20"/>
              </w:rPr>
              <w:t>GEN</w:t>
            </w:r>
          </w:p>
        </w:tc>
        <w:tc>
          <w:tcPr>
            <w:tcW w:type="dxa" w:w="1080"/>
          </w:tcPr>
          <w:p>
            <w:r>
              <w:rPr>
                <w:rFonts w:ascii="Times New Roman" w:hAnsi="Times New Roman"/>
                <w:b/>
                <w:sz w:val="20"/>
              </w:rPr>
              <w:t>CUL</w:t>
            </w:r>
          </w:p>
        </w:tc>
        <w:tc>
          <w:tcPr>
            <w:tcW w:type="dxa" w:w="1080"/>
          </w:tcPr>
          <w:p>
            <w:r>
              <w:rPr>
                <w:rFonts w:ascii="Times New Roman" w:hAnsi="Times New Roman"/>
                <w:b/>
                <w:sz w:val="20"/>
              </w:rPr>
              <w:t>PED</w:t>
            </w:r>
          </w:p>
        </w:tc>
      </w:tr>
      <w:tr>
        <w:tc>
          <w:tcPr>
            <w:tcW w:type="dxa" w:w="1080"/>
          </w:tcPr>
          <w:p>
            <w:r>
              <w:rPr>
                <w:rFonts w:ascii="Times New Roman" w:hAnsi="Times New Roman"/>
                <w:sz w:val="20"/>
              </w:rPr>
              <w:t>k3-agent</w:t>
            </w:r>
          </w:p>
        </w:tc>
        <w:tc>
          <w:tcPr>
            <w:tcW w:type="dxa" w:w="1080"/>
          </w:tcPr>
          <w:p>
            <w:r>
              <w:rPr>
                <w:rFonts w:ascii="Times New Roman" w:hAnsi="Times New Roman"/>
                <w:sz w:val="20"/>
              </w:rPr>
              <w:t>46.7</w:t>
            </w:r>
          </w:p>
        </w:tc>
        <w:tc>
          <w:tcPr>
            <w:tcW w:type="dxa" w:w="1080"/>
          </w:tcPr>
          <w:p>
            <w:r>
              <w:rPr>
                <w:rFonts w:ascii="Times New Roman" w:hAnsi="Times New Roman"/>
                <w:sz w:val="20"/>
              </w:rPr>
              <w:t>29.0</w:t>
            </w:r>
          </w:p>
        </w:tc>
        <w:tc>
          <w:tcPr>
            <w:tcW w:type="dxa" w:w="1080"/>
          </w:tcPr>
          <w:p>
            <w:r>
              <w:rPr>
                <w:rFonts w:ascii="Times New Roman" w:hAnsi="Times New Roman"/>
                <w:sz w:val="20"/>
              </w:rPr>
              <w:t>33.3</w:t>
            </w:r>
          </w:p>
        </w:tc>
        <w:tc>
          <w:tcPr>
            <w:tcW w:type="dxa" w:w="1080"/>
          </w:tcPr>
          <w:p>
            <w:r>
              <w:rPr>
                <w:rFonts w:ascii="Times New Roman" w:hAnsi="Times New Roman"/>
                <w:sz w:val="20"/>
              </w:rPr>
              <w:t>78.6</w:t>
            </w:r>
          </w:p>
        </w:tc>
        <w:tc>
          <w:tcPr>
            <w:tcW w:type="dxa" w:w="1080"/>
          </w:tcPr>
          <w:p>
            <w:r>
              <w:rPr>
                <w:rFonts w:ascii="Times New Roman" w:hAnsi="Times New Roman"/>
                <w:sz w:val="20"/>
              </w:rPr>
              <w:t>48.7</w:t>
            </w:r>
          </w:p>
        </w:tc>
        <w:tc>
          <w:tcPr>
            <w:tcW w:type="dxa" w:w="1080"/>
          </w:tcPr>
          <w:p>
            <w:r>
              <w:rPr>
                <w:rFonts w:ascii="Times New Roman" w:hAnsi="Times New Roman"/>
                <w:sz w:val="20"/>
              </w:rPr>
              <w:t>94.9</w:t>
            </w:r>
          </w:p>
        </w:tc>
        <w:tc>
          <w:tcPr>
            <w:tcW w:type="dxa" w:w="1080"/>
          </w:tcPr>
          <w:p>
            <w:r>
              <w:rPr>
                <w:rFonts w:ascii="Times New Roman" w:hAnsi="Times New Roman"/>
                <w:sz w:val="20"/>
              </w:rPr>
              <w:t>45.0</w:t>
            </w:r>
          </w:p>
        </w:tc>
      </w:tr>
      <w:tr>
        <w:tc>
          <w:tcPr>
            <w:tcW w:type="dxa" w:w="1080"/>
          </w:tcPr>
          <w:p>
            <w:r>
              <w:rPr>
                <w:rFonts w:ascii="Times New Roman" w:hAnsi="Times New Roman"/>
                <w:sz w:val="20"/>
              </w:rPr>
              <w:t>deepseek</w:t>
            </w:r>
          </w:p>
        </w:tc>
        <w:tc>
          <w:tcPr>
            <w:tcW w:type="dxa" w:w="1080"/>
          </w:tcPr>
          <w:p>
            <w:r>
              <w:rPr>
                <w:rFonts w:ascii="Times New Roman" w:hAnsi="Times New Roman"/>
                <w:sz w:val="20"/>
              </w:rPr>
              <w:t>44.2</w:t>
            </w:r>
          </w:p>
        </w:tc>
        <w:tc>
          <w:tcPr>
            <w:tcW w:type="dxa" w:w="1080"/>
          </w:tcPr>
          <w:p>
            <w:r>
              <w:rPr>
                <w:rFonts w:ascii="Times New Roman" w:hAnsi="Times New Roman"/>
                <w:sz w:val="20"/>
              </w:rPr>
              <w:t>35.2</w:t>
            </w:r>
          </w:p>
        </w:tc>
        <w:tc>
          <w:tcPr>
            <w:tcW w:type="dxa" w:w="1080"/>
          </w:tcPr>
          <w:p>
            <w:r>
              <w:rPr>
                <w:rFonts w:ascii="Times New Roman" w:hAnsi="Times New Roman"/>
                <w:sz w:val="20"/>
              </w:rPr>
              <w:t>31.4</w:t>
            </w:r>
          </w:p>
        </w:tc>
        <w:tc>
          <w:tcPr>
            <w:tcW w:type="dxa" w:w="1080"/>
          </w:tcPr>
          <w:p>
            <w:r>
              <w:rPr>
                <w:rFonts w:ascii="Times New Roman" w:hAnsi="Times New Roman"/>
                <w:sz w:val="20"/>
              </w:rPr>
              <w:t>75.8</w:t>
            </w:r>
          </w:p>
        </w:tc>
        <w:tc>
          <w:tcPr>
            <w:tcW w:type="dxa" w:w="1080"/>
          </w:tcPr>
          <w:p>
            <w:r>
              <w:rPr>
                <w:rFonts w:ascii="Times New Roman" w:hAnsi="Times New Roman"/>
                <w:sz w:val="20"/>
              </w:rPr>
              <w:t>36.6</w:t>
            </w:r>
          </w:p>
        </w:tc>
        <w:tc>
          <w:tcPr>
            <w:tcW w:type="dxa" w:w="1080"/>
          </w:tcPr>
          <w:p>
            <w:r>
              <w:rPr>
                <w:rFonts w:ascii="Times New Roman" w:hAnsi="Times New Roman"/>
                <w:sz w:val="20"/>
              </w:rPr>
              <w:t>84.7</w:t>
            </w:r>
          </w:p>
        </w:tc>
        <w:tc>
          <w:tcPr>
            <w:tcW w:type="dxa" w:w="1080"/>
          </w:tcPr>
          <w:p>
            <w:r>
              <w:rPr>
                <w:rFonts w:ascii="Times New Roman" w:hAnsi="Times New Roman"/>
                <w:sz w:val="20"/>
              </w:rPr>
              <w:t>41.7</w:t>
            </w:r>
          </w:p>
        </w:tc>
      </w:tr>
      <w:tr>
        <w:tc>
          <w:tcPr>
            <w:tcW w:type="dxa" w:w="1080"/>
          </w:tcPr>
          <w:p>
            <w:r>
              <w:rPr>
                <w:rFonts w:ascii="Times New Roman" w:hAnsi="Times New Roman"/>
                <w:sz w:val="20"/>
              </w:rPr>
              <w:t>tchub-dsv4f</w:t>
            </w:r>
          </w:p>
        </w:tc>
        <w:tc>
          <w:tcPr>
            <w:tcW w:type="dxa" w:w="1080"/>
          </w:tcPr>
          <w:p>
            <w:r>
              <w:rPr>
                <w:rFonts w:ascii="Times New Roman" w:hAnsi="Times New Roman"/>
                <w:sz w:val="20"/>
              </w:rPr>
              <w:t>42.9</w:t>
            </w:r>
          </w:p>
        </w:tc>
        <w:tc>
          <w:tcPr>
            <w:tcW w:type="dxa" w:w="1080"/>
          </w:tcPr>
          <w:p>
            <w:r>
              <w:rPr>
                <w:rFonts w:ascii="Times New Roman" w:hAnsi="Times New Roman"/>
                <w:sz w:val="20"/>
              </w:rPr>
              <w:t>22.5</w:t>
            </w:r>
          </w:p>
        </w:tc>
        <w:tc>
          <w:tcPr>
            <w:tcW w:type="dxa" w:w="1080"/>
          </w:tcPr>
          <w:p>
            <w:r>
              <w:rPr>
                <w:rFonts w:ascii="Times New Roman" w:hAnsi="Times New Roman"/>
                <w:sz w:val="20"/>
              </w:rPr>
              <w:t>30.5</w:t>
            </w:r>
          </w:p>
        </w:tc>
        <w:tc>
          <w:tcPr>
            <w:tcW w:type="dxa" w:w="1080"/>
          </w:tcPr>
          <w:p>
            <w:r>
              <w:rPr>
                <w:rFonts w:ascii="Times New Roman" w:hAnsi="Times New Roman"/>
                <w:sz w:val="20"/>
              </w:rPr>
              <w:t>70.8</w:t>
            </w:r>
          </w:p>
        </w:tc>
        <w:tc>
          <w:tcPr>
            <w:tcW w:type="dxa" w:w="1080"/>
          </w:tcPr>
          <w:p>
            <w:r>
              <w:rPr>
                <w:rFonts w:ascii="Times New Roman" w:hAnsi="Times New Roman"/>
                <w:sz w:val="20"/>
              </w:rPr>
              <w:t>50.8</w:t>
            </w:r>
          </w:p>
        </w:tc>
        <w:tc>
          <w:tcPr>
            <w:tcW w:type="dxa" w:w="1080"/>
          </w:tcPr>
          <w:p>
            <w:r>
              <w:rPr>
                <w:rFonts w:ascii="Times New Roman" w:hAnsi="Times New Roman"/>
                <w:sz w:val="20"/>
              </w:rPr>
              <w:t>88.9</w:t>
            </w:r>
          </w:p>
        </w:tc>
        <w:tc>
          <w:tcPr>
            <w:tcW w:type="dxa" w:w="1080"/>
          </w:tcPr>
          <w:p>
            <w:r>
              <w:rPr>
                <w:rFonts w:ascii="Times New Roman" w:hAnsi="Times New Roman"/>
                <w:sz w:val="20"/>
              </w:rPr>
              <w:t>42.5</w:t>
            </w:r>
          </w:p>
        </w:tc>
      </w:tr>
      <w:tr>
        <w:tc>
          <w:tcPr>
            <w:tcW w:type="dxa" w:w="1080"/>
          </w:tcPr>
          <w:p>
            <w:r>
              <w:rPr>
                <w:rFonts w:ascii="Times New Roman" w:hAnsi="Times New Roman"/>
                <w:sz w:val="20"/>
              </w:rPr>
              <w:t>hunyuan</w:t>
            </w:r>
          </w:p>
        </w:tc>
        <w:tc>
          <w:tcPr>
            <w:tcW w:type="dxa" w:w="1080"/>
          </w:tcPr>
          <w:p>
            <w:r>
              <w:rPr>
                <w:rFonts w:ascii="Times New Roman" w:hAnsi="Times New Roman"/>
                <w:sz w:val="20"/>
              </w:rPr>
              <w:t>42.2</w:t>
            </w:r>
          </w:p>
        </w:tc>
        <w:tc>
          <w:tcPr>
            <w:tcW w:type="dxa" w:w="1080"/>
          </w:tcPr>
          <w:p>
            <w:r>
              <w:rPr>
                <w:rFonts w:ascii="Times New Roman" w:hAnsi="Times New Roman"/>
                <w:sz w:val="20"/>
              </w:rPr>
              <w:t>23.8</w:t>
            </w:r>
          </w:p>
        </w:tc>
        <w:tc>
          <w:tcPr>
            <w:tcW w:type="dxa" w:w="1080"/>
          </w:tcPr>
          <w:p>
            <w:r>
              <w:rPr>
                <w:rFonts w:ascii="Times New Roman" w:hAnsi="Times New Roman"/>
                <w:sz w:val="20"/>
              </w:rPr>
              <w:t>32.8</w:t>
            </w:r>
          </w:p>
        </w:tc>
        <w:tc>
          <w:tcPr>
            <w:tcW w:type="dxa" w:w="1080"/>
          </w:tcPr>
          <w:p>
            <w:r>
              <w:rPr>
                <w:rFonts w:ascii="Times New Roman" w:hAnsi="Times New Roman"/>
                <w:sz w:val="20"/>
              </w:rPr>
              <w:t>48.6</w:t>
            </w:r>
          </w:p>
        </w:tc>
        <w:tc>
          <w:tcPr>
            <w:tcW w:type="dxa" w:w="1080"/>
          </w:tcPr>
          <w:p>
            <w:r>
              <w:rPr>
                <w:rFonts w:ascii="Times New Roman" w:hAnsi="Times New Roman"/>
                <w:sz w:val="20"/>
              </w:rPr>
              <w:t>59.7</w:t>
            </w:r>
          </w:p>
        </w:tc>
        <w:tc>
          <w:tcPr>
            <w:tcW w:type="dxa" w:w="1080"/>
          </w:tcPr>
          <w:p>
            <w:r>
              <w:rPr>
                <w:rFonts w:ascii="Times New Roman" w:hAnsi="Times New Roman"/>
                <w:sz w:val="20"/>
              </w:rPr>
              <w:t>92.0</w:t>
            </w:r>
          </w:p>
        </w:tc>
        <w:tc>
          <w:tcPr>
            <w:tcW w:type="dxa" w:w="1080"/>
          </w:tcPr>
          <w:p>
            <w:r>
              <w:rPr>
                <w:rFonts w:ascii="Times New Roman" w:hAnsi="Times New Roman"/>
                <w:sz w:val="20"/>
              </w:rPr>
              <w:t>43.3</w:t>
            </w:r>
          </w:p>
        </w:tc>
      </w:tr>
      <w:tr>
        <w:tc>
          <w:tcPr>
            <w:tcW w:type="dxa" w:w="1080"/>
          </w:tcPr>
          <w:p>
            <w:r>
              <w:rPr>
                <w:rFonts w:ascii="Times New Roman" w:hAnsi="Times New Roman"/>
                <w:sz w:val="20"/>
              </w:rPr>
              <w:t>grok</w:t>
            </w:r>
          </w:p>
        </w:tc>
        <w:tc>
          <w:tcPr>
            <w:tcW w:type="dxa" w:w="1080"/>
          </w:tcPr>
          <w:p>
            <w:r>
              <w:rPr>
                <w:rFonts w:ascii="Times New Roman" w:hAnsi="Times New Roman"/>
                <w:sz w:val="20"/>
              </w:rPr>
              <w:t>41.2</w:t>
            </w:r>
          </w:p>
        </w:tc>
        <w:tc>
          <w:tcPr>
            <w:tcW w:type="dxa" w:w="1080"/>
          </w:tcPr>
          <w:p>
            <w:r>
              <w:rPr>
                <w:rFonts w:ascii="Times New Roman" w:hAnsi="Times New Roman"/>
                <w:sz w:val="20"/>
              </w:rPr>
              <w:t>24.8</w:t>
            </w:r>
          </w:p>
        </w:tc>
        <w:tc>
          <w:tcPr>
            <w:tcW w:type="dxa" w:w="1080"/>
          </w:tcPr>
          <w:p>
            <w:r>
              <w:rPr>
                <w:rFonts w:ascii="Times New Roman" w:hAnsi="Times New Roman"/>
                <w:sz w:val="20"/>
              </w:rPr>
              <w:t>28.0</w:t>
            </w:r>
          </w:p>
        </w:tc>
        <w:tc>
          <w:tcPr>
            <w:tcW w:type="dxa" w:w="1080"/>
          </w:tcPr>
          <w:p>
            <w:r>
              <w:rPr>
                <w:rFonts w:ascii="Times New Roman" w:hAnsi="Times New Roman"/>
                <w:sz w:val="20"/>
              </w:rPr>
              <w:t>58.6</w:t>
            </w:r>
          </w:p>
        </w:tc>
        <w:tc>
          <w:tcPr>
            <w:tcW w:type="dxa" w:w="1080"/>
          </w:tcPr>
          <w:p>
            <w:r>
              <w:rPr>
                <w:rFonts w:ascii="Times New Roman" w:hAnsi="Times New Roman"/>
                <w:sz w:val="20"/>
              </w:rPr>
              <w:t>53.7</w:t>
            </w:r>
          </w:p>
        </w:tc>
        <w:tc>
          <w:tcPr>
            <w:tcW w:type="dxa" w:w="1080"/>
          </w:tcPr>
          <w:p>
            <w:r>
              <w:rPr>
                <w:rFonts w:ascii="Times New Roman" w:hAnsi="Times New Roman"/>
                <w:sz w:val="20"/>
              </w:rPr>
              <w:t>87.4</w:t>
            </w:r>
          </w:p>
        </w:tc>
        <w:tc>
          <w:tcPr>
            <w:tcW w:type="dxa" w:w="1080"/>
          </w:tcPr>
          <w:p>
            <w:r>
              <w:rPr>
                <w:rFonts w:ascii="Times New Roman" w:hAnsi="Times New Roman"/>
                <w:sz w:val="20"/>
              </w:rPr>
              <w:t>40.3</w:t>
            </w:r>
          </w:p>
        </w:tc>
      </w:tr>
      <w:tr>
        <w:tc>
          <w:tcPr>
            <w:tcW w:type="dxa" w:w="1080"/>
          </w:tcPr>
          <w:p>
            <w:r>
              <w:rPr>
                <w:rFonts w:ascii="Times New Roman" w:hAnsi="Times New Roman"/>
                <w:sz w:val="20"/>
              </w:rPr>
              <w:t>k2d6-agent</w:t>
            </w:r>
          </w:p>
        </w:tc>
        <w:tc>
          <w:tcPr>
            <w:tcW w:type="dxa" w:w="1080"/>
          </w:tcPr>
          <w:p>
            <w:r>
              <w:rPr>
                <w:rFonts w:ascii="Times New Roman" w:hAnsi="Times New Roman"/>
                <w:sz w:val="20"/>
              </w:rPr>
              <w:t>39.4</w:t>
            </w:r>
          </w:p>
        </w:tc>
        <w:tc>
          <w:tcPr>
            <w:tcW w:type="dxa" w:w="1080"/>
          </w:tcPr>
          <w:p>
            <w:r>
              <w:rPr>
                <w:rFonts w:ascii="Times New Roman" w:hAnsi="Times New Roman"/>
                <w:sz w:val="20"/>
              </w:rPr>
              <w:t>21.2</w:t>
            </w:r>
          </w:p>
        </w:tc>
        <w:tc>
          <w:tcPr>
            <w:tcW w:type="dxa" w:w="1080"/>
          </w:tcPr>
          <w:p>
            <w:r>
              <w:rPr>
                <w:rFonts w:ascii="Times New Roman" w:hAnsi="Times New Roman"/>
                <w:sz w:val="20"/>
              </w:rPr>
              <w:t>36.1</w:t>
            </w:r>
          </w:p>
        </w:tc>
        <w:tc>
          <w:tcPr>
            <w:tcW w:type="dxa" w:w="1080"/>
          </w:tcPr>
          <w:p>
            <w:r>
              <w:rPr>
                <w:rFonts w:ascii="Times New Roman" w:hAnsi="Times New Roman"/>
                <w:sz w:val="20"/>
              </w:rPr>
              <w:t>55.8</w:t>
            </w:r>
          </w:p>
        </w:tc>
        <w:tc>
          <w:tcPr>
            <w:tcW w:type="dxa" w:w="1080"/>
          </w:tcPr>
          <w:p>
            <w:r>
              <w:rPr>
                <w:rFonts w:ascii="Times New Roman" w:hAnsi="Times New Roman"/>
                <w:sz w:val="20"/>
              </w:rPr>
              <w:t>40.0</w:t>
            </w:r>
          </w:p>
        </w:tc>
        <w:tc>
          <w:tcPr>
            <w:tcW w:type="dxa" w:w="1080"/>
          </w:tcPr>
          <w:p>
            <w:r>
              <w:rPr>
                <w:rFonts w:ascii="Times New Roman" w:hAnsi="Times New Roman"/>
                <w:sz w:val="20"/>
              </w:rPr>
              <w:t>85.6</w:t>
            </w:r>
          </w:p>
        </w:tc>
        <w:tc>
          <w:tcPr>
            <w:tcW w:type="dxa" w:w="1080"/>
          </w:tcPr>
          <w:p>
            <w:r>
              <w:rPr>
                <w:rFonts w:ascii="Times New Roman" w:hAnsi="Times New Roman"/>
                <w:sz w:val="20"/>
              </w:rPr>
              <w:t>44.1</w:t>
            </w:r>
          </w:p>
        </w:tc>
      </w:tr>
      <w:tr>
        <w:tc>
          <w:tcPr>
            <w:tcW w:type="dxa" w:w="1080"/>
          </w:tcPr>
          <w:p>
            <w:r>
              <w:rPr>
                <w:rFonts w:ascii="Times New Roman" w:hAnsi="Times New Roman"/>
                <w:sz w:val="20"/>
              </w:rPr>
              <w:t>ernie</w:t>
            </w:r>
          </w:p>
        </w:tc>
        <w:tc>
          <w:tcPr>
            <w:tcW w:type="dxa" w:w="1080"/>
          </w:tcPr>
          <w:p>
            <w:r>
              <w:rPr>
                <w:rFonts w:ascii="Times New Roman" w:hAnsi="Times New Roman"/>
                <w:sz w:val="20"/>
              </w:rPr>
              <w:t>38.4</w:t>
            </w:r>
          </w:p>
        </w:tc>
        <w:tc>
          <w:tcPr>
            <w:tcW w:type="dxa" w:w="1080"/>
          </w:tcPr>
          <w:p>
            <w:r>
              <w:rPr>
                <w:rFonts w:ascii="Times New Roman" w:hAnsi="Times New Roman"/>
                <w:sz w:val="20"/>
              </w:rPr>
              <w:t>20.2</w:t>
            </w:r>
          </w:p>
        </w:tc>
        <w:tc>
          <w:tcPr>
            <w:tcW w:type="dxa" w:w="1080"/>
          </w:tcPr>
          <w:p>
            <w:r>
              <w:rPr>
                <w:rFonts w:ascii="Times New Roman" w:hAnsi="Times New Roman"/>
                <w:sz w:val="20"/>
              </w:rPr>
              <w:t>24.1</w:t>
            </w:r>
          </w:p>
        </w:tc>
        <w:tc>
          <w:tcPr>
            <w:tcW w:type="dxa" w:w="1080"/>
          </w:tcPr>
          <w:p>
            <w:r>
              <w:rPr>
                <w:rFonts w:ascii="Times New Roman" w:hAnsi="Times New Roman"/>
                <w:sz w:val="20"/>
              </w:rPr>
              <w:t>76.8</w:t>
            </w:r>
          </w:p>
        </w:tc>
        <w:tc>
          <w:tcPr>
            <w:tcW w:type="dxa" w:w="1080"/>
          </w:tcPr>
          <w:p>
            <w:r>
              <w:rPr>
                <w:rFonts w:ascii="Times New Roman" w:hAnsi="Times New Roman"/>
                <w:sz w:val="20"/>
              </w:rPr>
              <w:t>35.0</w:t>
            </w:r>
          </w:p>
        </w:tc>
        <w:tc>
          <w:tcPr>
            <w:tcW w:type="dxa" w:w="1080"/>
          </w:tcPr>
          <w:p>
            <w:r>
              <w:rPr>
                <w:rFonts w:ascii="Times New Roman" w:hAnsi="Times New Roman"/>
                <w:sz w:val="20"/>
              </w:rPr>
              <w:t>82.4</w:t>
            </w:r>
          </w:p>
        </w:tc>
        <w:tc>
          <w:tcPr>
            <w:tcW w:type="dxa" w:w="1080"/>
          </w:tcPr>
          <w:p>
            <w:r>
              <w:rPr>
                <w:rFonts w:ascii="Times New Roman" w:hAnsi="Times New Roman"/>
                <w:sz w:val="20"/>
              </w:rPr>
              <w:t>42.5</w:t>
            </w:r>
          </w:p>
        </w:tc>
      </w:tr>
      <w:tr>
        <w:tc>
          <w:tcPr>
            <w:tcW w:type="dxa" w:w="1080"/>
          </w:tcPr>
          <w:p>
            <w:r>
              <w:rPr>
                <w:rFonts w:ascii="Times New Roman" w:hAnsi="Times New Roman"/>
                <w:sz w:val="20"/>
              </w:rPr>
              <w:t>qwen</w:t>
            </w:r>
          </w:p>
        </w:tc>
        <w:tc>
          <w:tcPr>
            <w:tcW w:type="dxa" w:w="1080"/>
          </w:tcPr>
          <w:p>
            <w:r>
              <w:rPr>
                <w:rFonts w:ascii="Times New Roman" w:hAnsi="Times New Roman"/>
                <w:sz w:val="20"/>
              </w:rPr>
              <w:t>38.2</w:t>
            </w:r>
          </w:p>
        </w:tc>
        <w:tc>
          <w:tcPr>
            <w:tcW w:type="dxa" w:w="1080"/>
          </w:tcPr>
          <w:p>
            <w:r>
              <w:rPr>
                <w:rFonts w:ascii="Times New Roman" w:hAnsi="Times New Roman"/>
                <w:sz w:val="20"/>
              </w:rPr>
              <w:t>12.2</w:t>
            </w:r>
          </w:p>
        </w:tc>
        <w:tc>
          <w:tcPr>
            <w:tcW w:type="dxa" w:w="1080"/>
          </w:tcPr>
          <w:p>
            <w:r>
              <w:rPr>
                <w:rFonts w:ascii="Times New Roman" w:hAnsi="Times New Roman"/>
                <w:sz w:val="20"/>
              </w:rPr>
              <w:t>30.8</w:t>
            </w:r>
          </w:p>
        </w:tc>
        <w:tc>
          <w:tcPr>
            <w:tcW w:type="dxa" w:w="1080"/>
          </w:tcPr>
          <w:p>
            <w:r>
              <w:rPr>
                <w:rFonts w:ascii="Times New Roman" w:hAnsi="Times New Roman"/>
                <w:sz w:val="20"/>
              </w:rPr>
              <w:t>74.2</w:t>
            </w:r>
          </w:p>
        </w:tc>
        <w:tc>
          <w:tcPr>
            <w:tcW w:type="dxa" w:w="1080"/>
          </w:tcPr>
          <w:p>
            <w:r>
              <w:rPr>
                <w:rFonts w:ascii="Times New Roman" w:hAnsi="Times New Roman"/>
                <w:sz w:val="20"/>
              </w:rPr>
              <w:t>38.4</w:t>
            </w:r>
          </w:p>
        </w:tc>
        <w:tc>
          <w:tcPr>
            <w:tcW w:type="dxa" w:w="1080"/>
          </w:tcPr>
          <w:p>
            <w:r>
              <w:rPr>
                <w:rFonts w:ascii="Times New Roman" w:hAnsi="Times New Roman"/>
                <w:sz w:val="20"/>
              </w:rPr>
              <w:t>80.4</w:t>
            </w:r>
          </w:p>
        </w:tc>
        <w:tc>
          <w:tcPr>
            <w:tcW w:type="dxa" w:w="1080"/>
          </w:tcPr>
          <w:p>
            <w:r>
              <w:rPr>
                <w:rFonts w:ascii="Times New Roman" w:hAnsi="Times New Roman"/>
                <w:sz w:val="20"/>
              </w:rPr>
              <w:t>43.8</w:t>
            </w:r>
          </w:p>
        </w:tc>
      </w:tr>
      <w:tr>
        <w:tc>
          <w:tcPr>
            <w:tcW w:type="dxa" w:w="1080"/>
          </w:tcPr>
          <w:p>
            <w:r>
              <w:rPr>
                <w:rFonts w:ascii="Times New Roman" w:hAnsi="Times New Roman"/>
                <w:sz w:val="20"/>
              </w:rPr>
              <w:t>doubao</w:t>
            </w:r>
          </w:p>
        </w:tc>
        <w:tc>
          <w:tcPr>
            <w:tcW w:type="dxa" w:w="1080"/>
          </w:tcPr>
          <w:p>
            <w:r>
              <w:rPr>
                <w:rFonts w:ascii="Times New Roman" w:hAnsi="Times New Roman"/>
                <w:sz w:val="20"/>
              </w:rPr>
              <w:t>37.9</w:t>
            </w:r>
          </w:p>
        </w:tc>
        <w:tc>
          <w:tcPr>
            <w:tcW w:type="dxa" w:w="1080"/>
          </w:tcPr>
          <w:p>
            <w:r>
              <w:rPr>
                <w:rFonts w:ascii="Times New Roman" w:hAnsi="Times New Roman"/>
                <w:sz w:val="20"/>
              </w:rPr>
              <w:t>20.2</w:t>
            </w:r>
          </w:p>
        </w:tc>
        <w:tc>
          <w:tcPr>
            <w:tcW w:type="dxa" w:w="1080"/>
          </w:tcPr>
          <w:p>
            <w:r>
              <w:rPr>
                <w:rFonts w:ascii="Times New Roman" w:hAnsi="Times New Roman"/>
                <w:sz w:val="20"/>
              </w:rPr>
              <w:t>34.0</w:t>
            </w:r>
          </w:p>
        </w:tc>
        <w:tc>
          <w:tcPr>
            <w:tcW w:type="dxa" w:w="1080"/>
          </w:tcPr>
          <w:p>
            <w:r>
              <w:rPr>
                <w:rFonts w:ascii="Times New Roman" w:hAnsi="Times New Roman"/>
                <w:sz w:val="20"/>
              </w:rPr>
              <w:t>44.4</w:t>
            </w:r>
          </w:p>
        </w:tc>
        <w:tc>
          <w:tcPr>
            <w:tcW w:type="dxa" w:w="1080"/>
          </w:tcPr>
          <w:p>
            <w:r>
              <w:rPr>
                <w:rFonts w:ascii="Times New Roman" w:hAnsi="Times New Roman"/>
                <w:sz w:val="20"/>
              </w:rPr>
              <w:t>46.6</w:t>
            </w:r>
          </w:p>
        </w:tc>
        <w:tc>
          <w:tcPr>
            <w:tcW w:type="dxa" w:w="1080"/>
          </w:tcPr>
          <w:p>
            <w:r>
              <w:rPr>
                <w:rFonts w:ascii="Times New Roman" w:hAnsi="Times New Roman"/>
                <w:sz w:val="20"/>
              </w:rPr>
              <w:t>86.3</w:t>
            </w:r>
          </w:p>
        </w:tc>
        <w:tc>
          <w:tcPr>
            <w:tcW w:type="dxa" w:w="1080"/>
          </w:tcPr>
          <w:p>
            <w:r>
              <w:rPr>
                <w:rFonts w:ascii="Times New Roman" w:hAnsi="Times New Roman"/>
                <w:sz w:val="20"/>
              </w:rPr>
              <w:t>41.1</w:t>
            </w:r>
          </w:p>
        </w:tc>
      </w:tr>
      <w:tr>
        <w:tc>
          <w:tcPr>
            <w:tcW w:type="dxa" w:w="1080"/>
          </w:tcPr>
          <w:p>
            <w:r>
              <w:rPr>
                <w:rFonts w:ascii="Times New Roman" w:hAnsi="Times New Roman"/>
                <w:sz w:val="20"/>
              </w:rPr>
              <w:t>stepfun</w:t>
            </w:r>
          </w:p>
        </w:tc>
        <w:tc>
          <w:tcPr>
            <w:tcW w:type="dxa" w:w="1080"/>
          </w:tcPr>
          <w:p>
            <w:r>
              <w:rPr>
                <w:rFonts w:ascii="Times New Roman" w:hAnsi="Times New Roman"/>
                <w:sz w:val="20"/>
              </w:rPr>
              <w:t>37.0</w:t>
            </w:r>
          </w:p>
        </w:tc>
        <w:tc>
          <w:tcPr>
            <w:tcW w:type="dxa" w:w="1080"/>
          </w:tcPr>
          <w:p>
            <w:r>
              <w:rPr>
                <w:rFonts w:ascii="Times New Roman" w:hAnsi="Times New Roman"/>
                <w:sz w:val="20"/>
              </w:rPr>
              <w:t>15.8</w:t>
            </w:r>
          </w:p>
        </w:tc>
        <w:tc>
          <w:tcPr>
            <w:tcW w:type="dxa" w:w="1080"/>
          </w:tcPr>
          <w:p>
            <w:r>
              <w:rPr>
                <w:rFonts w:ascii="Times New Roman" w:hAnsi="Times New Roman"/>
                <w:sz w:val="20"/>
              </w:rPr>
              <w:t>32.0</w:t>
            </w:r>
          </w:p>
        </w:tc>
        <w:tc>
          <w:tcPr>
            <w:tcW w:type="dxa" w:w="1080"/>
          </w:tcPr>
          <w:p>
            <w:r>
              <w:rPr>
                <w:rFonts w:ascii="Times New Roman" w:hAnsi="Times New Roman"/>
                <w:sz w:val="20"/>
              </w:rPr>
              <w:t>63.3</w:t>
            </w:r>
          </w:p>
        </w:tc>
        <w:tc>
          <w:tcPr>
            <w:tcW w:type="dxa" w:w="1080"/>
          </w:tcPr>
          <w:p>
            <w:r>
              <w:rPr>
                <w:rFonts w:ascii="Times New Roman" w:hAnsi="Times New Roman"/>
                <w:sz w:val="20"/>
              </w:rPr>
              <w:t>37.4</w:t>
            </w:r>
          </w:p>
        </w:tc>
        <w:tc>
          <w:tcPr>
            <w:tcW w:type="dxa" w:w="1080"/>
          </w:tcPr>
          <w:p>
            <w:r>
              <w:rPr>
                <w:rFonts w:ascii="Times New Roman" w:hAnsi="Times New Roman"/>
                <w:sz w:val="20"/>
              </w:rPr>
              <w:t>77.5</w:t>
            </w:r>
          </w:p>
        </w:tc>
        <w:tc>
          <w:tcPr>
            <w:tcW w:type="dxa" w:w="1080"/>
          </w:tcPr>
          <w:p>
            <w:r>
              <w:rPr>
                <w:rFonts w:ascii="Times New Roman" w:hAnsi="Times New Roman"/>
                <w:sz w:val="20"/>
              </w:rPr>
              <w:t>40.8</w:t>
            </w:r>
          </w:p>
        </w:tc>
      </w:tr>
      <w:tr>
        <w:tc>
          <w:tcPr>
            <w:tcW w:type="dxa" w:w="1080"/>
          </w:tcPr>
          <w:p>
            <w:r>
              <w:rPr>
                <w:rFonts w:ascii="Times New Roman" w:hAnsi="Times New Roman"/>
                <w:sz w:val="20"/>
              </w:rPr>
              <w:t>zhipu</w:t>
            </w:r>
          </w:p>
        </w:tc>
        <w:tc>
          <w:tcPr>
            <w:tcW w:type="dxa" w:w="1080"/>
          </w:tcPr>
          <w:p>
            <w:r>
              <w:rPr>
                <w:rFonts w:ascii="Times New Roman" w:hAnsi="Times New Roman"/>
                <w:sz w:val="20"/>
              </w:rPr>
              <w:t>33.4</w:t>
            </w:r>
          </w:p>
        </w:tc>
        <w:tc>
          <w:tcPr>
            <w:tcW w:type="dxa" w:w="1080"/>
          </w:tcPr>
          <w:p>
            <w:r>
              <w:rPr>
                <w:rFonts w:ascii="Times New Roman" w:hAnsi="Times New Roman"/>
                <w:sz w:val="20"/>
              </w:rPr>
              <w:t>12.0</w:t>
            </w:r>
          </w:p>
        </w:tc>
        <w:tc>
          <w:tcPr>
            <w:tcW w:type="dxa" w:w="1080"/>
          </w:tcPr>
          <w:p>
            <w:r>
              <w:rPr>
                <w:rFonts w:ascii="Times New Roman" w:hAnsi="Times New Roman"/>
                <w:sz w:val="20"/>
              </w:rPr>
              <w:t>21.5</w:t>
            </w:r>
          </w:p>
        </w:tc>
        <w:tc>
          <w:tcPr>
            <w:tcW w:type="dxa" w:w="1080"/>
          </w:tcPr>
          <w:p>
            <w:r>
              <w:rPr>
                <w:rFonts w:ascii="Times New Roman" w:hAnsi="Times New Roman"/>
                <w:sz w:val="20"/>
              </w:rPr>
              <w:t>74.2</w:t>
            </w:r>
          </w:p>
        </w:tc>
        <w:tc>
          <w:tcPr>
            <w:tcW w:type="dxa" w:w="1080"/>
          </w:tcPr>
          <w:p>
            <w:r>
              <w:rPr>
                <w:rFonts w:ascii="Times New Roman" w:hAnsi="Times New Roman"/>
                <w:sz w:val="20"/>
              </w:rPr>
              <w:t>31.4</w:t>
            </w:r>
          </w:p>
        </w:tc>
        <w:tc>
          <w:tcPr>
            <w:tcW w:type="dxa" w:w="1080"/>
          </w:tcPr>
          <w:p>
            <w:r>
              <w:rPr>
                <w:rFonts w:ascii="Times New Roman" w:hAnsi="Times New Roman"/>
                <w:sz w:val="20"/>
              </w:rPr>
              <w:t>70.5</w:t>
            </w:r>
          </w:p>
        </w:tc>
        <w:tc>
          <w:tcPr>
            <w:tcW w:type="dxa" w:w="1080"/>
          </w:tcPr>
          <w:p>
            <w:r>
              <w:rPr>
                <w:rFonts w:ascii="Times New Roman" w:hAnsi="Times New Roman"/>
                <w:sz w:val="20"/>
              </w:rPr>
              <w:t>37.1</w:t>
            </w:r>
          </w:p>
        </w:tc>
      </w:tr>
    </w:tbl>
    <w:p/>
    <w:p>
      <w:pPr>
        <w:spacing w:line="480" w:lineRule="auto"/>
        <w:ind w:firstLine="720"/>
      </w:pPr>
      <w:r>
        <w:rPr>
          <w:rFonts w:ascii="Times New Roman" w:hAnsi="Times New Roman"/>
          <w:sz w:val="24"/>
        </w:rPr>
        <w:t>Note: qwen GEN cell follows multimodel task table in repository report; totals are equal-weight means of the six tasks as published in `multimodel_summary.json` / REPORT_v1.0_multimodel.md. Minor display rounding may occur.</w:t>
      </w:r>
    </w:p>
    <w:p>
      <w:r>
        <w:rPr>
          <w:rFonts w:ascii="Times New Roman" w:hAnsi="Times New Roman"/>
          <w:b/>
          <w:sz w:val="28"/>
        </w:rPr>
        <w:t>Appendix C. Dual-judge reliability summary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b/>
                <w:sz w:val="20"/>
              </w:rPr>
              <w:t>Slice</w:t>
            </w:r>
          </w:p>
        </w:tc>
        <w:tc>
          <w:tcPr>
            <w:tcW w:type="dxa" w:w="1728"/>
          </w:tcPr>
          <w:p>
            <w:r>
              <w:rPr>
                <w:rFonts w:ascii="Times New Roman" w:hAnsi="Times New Roman"/>
                <w:b/>
                <w:sz w:val="20"/>
              </w:rPr>
              <w:t>n</w:t>
            </w:r>
          </w:p>
        </w:tc>
        <w:tc>
          <w:tcPr>
            <w:tcW w:type="dxa" w:w="1728"/>
          </w:tcPr>
          <w:p>
            <w:r>
              <w:rPr>
                <w:rFonts w:ascii="Times New Roman" w:hAnsi="Times New Roman"/>
                <w:b/>
                <w:sz w:val="20"/>
              </w:rPr>
              <w:t>Pearson r</w:t>
            </w:r>
          </w:p>
        </w:tc>
        <w:tc>
          <w:tcPr>
            <w:tcW w:type="dxa" w:w="1728"/>
          </w:tcPr>
          <w:p>
            <w:r>
              <w:rPr>
                <w:rFonts w:ascii="Times New Roman" w:hAnsi="Times New Roman"/>
                <w:b/>
                <w:sz w:val="20"/>
              </w:rPr>
              <w:t>Spearman ρ</w:t>
            </w:r>
          </w:p>
        </w:tc>
        <w:tc>
          <w:tcPr>
            <w:tcW w:type="dxa" w:w="1728"/>
          </w:tcPr>
          <w:p>
            <w:r>
              <w:rPr>
                <w:rFonts w:ascii="Times New Roman" w:hAnsi="Times New Roman"/>
                <w:b/>
                <w:sz w:val="20"/>
              </w:rPr>
              <w:t>Agree ±0.15</w:t>
            </w:r>
          </w:p>
        </w:tc>
      </w:tr>
      <w:tr>
        <w:tc>
          <w:tcPr>
            <w:tcW w:type="dxa" w:w="1728"/>
          </w:tcPr>
          <w:p>
            <w:r>
              <w:rPr>
                <w:rFonts w:ascii="Times New Roman" w:hAnsi="Times New Roman"/>
                <w:sz w:val="20"/>
              </w:rPr>
              <w:t>Overall</w:t>
            </w:r>
          </w:p>
        </w:tc>
        <w:tc>
          <w:tcPr>
            <w:tcW w:type="dxa" w:w="1728"/>
          </w:tcPr>
          <w:p>
            <w:r>
              <w:rPr>
                <w:rFonts w:ascii="Times New Roman" w:hAnsi="Times New Roman"/>
                <w:sz w:val="20"/>
              </w:rPr>
              <w:t>2177</w:t>
            </w:r>
          </w:p>
        </w:tc>
        <w:tc>
          <w:tcPr>
            <w:tcW w:type="dxa" w:w="1728"/>
          </w:tcPr>
          <w:p>
            <w:r>
              <w:rPr>
                <w:rFonts w:ascii="Times New Roman" w:hAnsi="Times New Roman"/>
                <w:sz w:val="20"/>
              </w:rPr>
              <w:t>0.656</w:t>
            </w:r>
          </w:p>
        </w:tc>
        <w:tc>
          <w:tcPr>
            <w:tcW w:type="dxa" w:w="1728"/>
          </w:tcPr>
          <w:p>
            <w:r>
              <w:rPr>
                <w:rFonts w:ascii="Times New Roman" w:hAnsi="Times New Roman"/>
                <w:sz w:val="20"/>
              </w:rPr>
              <w:t>0.642</w:t>
            </w:r>
          </w:p>
        </w:tc>
        <w:tc>
          <w:tcPr>
            <w:tcW w:type="dxa" w:w="1728"/>
          </w:tcPr>
          <w:p>
            <w:r>
              <w:rPr>
                <w:rFonts w:ascii="Times New Roman" w:hAnsi="Times New Roman"/>
                <w:sz w:val="20"/>
              </w:rPr>
              <w:t>0.794</w:t>
            </w:r>
          </w:p>
        </w:tc>
      </w:tr>
      <w:tr>
        <w:tc>
          <w:tcPr>
            <w:tcW w:type="dxa" w:w="1728"/>
          </w:tcPr>
          <w:p>
            <w:r>
              <w:rPr>
                <w:rFonts w:ascii="Times New Roman" w:hAnsi="Times New Roman"/>
                <w:sz w:val="20"/>
              </w:rPr>
              <w:t>GEN</w:t>
            </w:r>
          </w:p>
        </w:tc>
        <w:tc>
          <w:tcPr>
            <w:tcW w:type="dxa" w:w="1728"/>
          </w:tcPr>
          <w:p>
            <w:r>
              <w:rPr>
                <w:rFonts w:ascii="Times New Roman" w:hAnsi="Times New Roman"/>
                <w:sz w:val="20"/>
              </w:rPr>
              <w:t>660</w:t>
            </w:r>
          </w:p>
        </w:tc>
        <w:tc>
          <w:tcPr>
            <w:tcW w:type="dxa" w:w="1728"/>
          </w:tcPr>
          <w:p>
            <w:r>
              <w:rPr>
                <w:rFonts w:ascii="Times New Roman" w:hAnsi="Times New Roman"/>
                <w:sz w:val="20"/>
              </w:rPr>
              <w:t>0.638</w:t>
            </w:r>
          </w:p>
        </w:tc>
        <w:tc>
          <w:tcPr>
            <w:tcW w:type="dxa" w:w="1728"/>
          </w:tcPr>
          <w:p>
            <w:r>
              <w:rPr>
                <w:rFonts w:ascii="Times New Roman" w:hAnsi="Times New Roman"/>
                <w:sz w:val="20"/>
              </w:rPr>
              <w:t>0.614</w:t>
            </w:r>
          </w:p>
        </w:tc>
        <w:tc>
          <w:tcPr>
            <w:tcW w:type="dxa" w:w="1728"/>
          </w:tcPr>
          <w:p>
            <w:r>
              <w:rPr>
                <w:rFonts w:ascii="Times New Roman" w:hAnsi="Times New Roman"/>
                <w:sz w:val="20"/>
              </w:rPr>
              <w:t>0.674</w:t>
            </w:r>
          </w:p>
        </w:tc>
      </w:tr>
      <w:tr>
        <w:tc>
          <w:tcPr>
            <w:tcW w:type="dxa" w:w="1728"/>
          </w:tcPr>
          <w:p>
            <w:r>
              <w:rPr>
                <w:rFonts w:ascii="Times New Roman" w:hAnsi="Times New Roman"/>
                <w:sz w:val="20"/>
              </w:rPr>
              <w:t>CUL</w:t>
            </w:r>
          </w:p>
        </w:tc>
        <w:tc>
          <w:tcPr>
            <w:tcW w:type="dxa" w:w="1728"/>
          </w:tcPr>
          <w:p>
            <w:r>
              <w:rPr>
                <w:rFonts w:ascii="Times New Roman" w:hAnsi="Times New Roman"/>
                <w:sz w:val="20"/>
              </w:rPr>
              <w:t>857</w:t>
            </w:r>
          </w:p>
        </w:tc>
        <w:tc>
          <w:tcPr>
            <w:tcW w:type="dxa" w:w="1728"/>
          </w:tcPr>
          <w:p>
            <w:r>
              <w:rPr>
                <w:rFonts w:ascii="Times New Roman" w:hAnsi="Times New Roman"/>
                <w:sz w:val="20"/>
              </w:rPr>
              <w:t>0.522</w:t>
            </w:r>
          </w:p>
        </w:tc>
        <w:tc>
          <w:tcPr>
            <w:tcW w:type="dxa" w:w="1728"/>
          </w:tcPr>
          <w:p>
            <w:r>
              <w:rPr>
                <w:rFonts w:ascii="Times New Roman" w:hAnsi="Times New Roman"/>
                <w:sz w:val="20"/>
              </w:rPr>
              <w:t>0.482</w:t>
            </w:r>
          </w:p>
        </w:tc>
        <w:tc>
          <w:tcPr>
            <w:tcW w:type="dxa" w:w="1728"/>
          </w:tcPr>
          <w:p>
            <w:r>
              <w:rPr>
                <w:rFonts w:ascii="Times New Roman" w:hAnsi="Times New Roman"/>
                <w:sz w:val="20"/>
              </w:rPr>
              <w:t>0.761</w:t>
            </w:r>
          </w:p>
        </w:tc>
      </w:tr>
      <w:tr>
        <w:tc>
          <w:tcPr>
            <w:tcW w:type="dxa" w:w="1728"/>
          </w:tcPr>
          <w:p>
            <w:r>
              <w:rPr>
                <w:rFonts w:ascii="Times New Roman" w:hAnsi="Times New Roman"/>
                <w:sz w:val="20"/>
              </w:rPr>
              <w:t>PED</w:t>
            </w:r>
          </w:p>
        </w:tc>
        <w:tc>
          <w:tcPr>
            <w:tcW w:type="dxa" w:w="1728"/>
          </w:tcPr>
          <w:p>
            <w:r>
              <w:rPr>
                <w:rFonts w:ascii="Times New Roman" w:hAnsi="Times New Roman"/>
                <w:sz w:val="20"/>
              </w:rPr>
              <w:t>660</w:t>
            </w:r>
          </w:p>
        </w:tc>
        <w:tc>
          <w:tcPr>
            <w:tcW w:type="dxa" w:w="1728"/>
          </w:tcPr>
          <w:p>
            <w:r>
              <w:rPr>
                <w:rFonts w:ascii="Times New Roman" w:hAnsi="Times New Roman"/>
                <w:sz w:val="20"/>
              </w:rPr>
              <w:t>0.663</w:t>
            </w:r>
          </w:p>
        </w:tc>
        <w:tc>
          <w:tcPr>
            <w:tcW w:type="dxa" w:w="1728"/>
          </w:tcPr>
          <w:p>
            <w:r>
              <w:rPr>
                <w:rFonts w:ascii="Times New Roman" w:hAnsi="Times New Roman"/>
                <w:sz w:val="20"/>
              </w:rPr>
              <w:t>0.513</w:t>
            </w:r>
          </w:p>
        </w:tc>
        <w:tc>
          <w:tcPr>
            <w:tcW w:type="dxa" w:w="1728"/>
          </w:tcPr>
          <w:p>
            <w:r>
              <w:rPr>
                <w:rFonts w:ascii="Times New Roman" w:hAnsi="Times New Roman"/>
                <w:sz w:val="20"/>
              </w:rPr>
              <w:t>0.958</w:t>
            </w:r>
          </w:p>
        </w:tc>
      </w:tr>
    </w:tbl>
    <w:p/>
    <w:p>
      <w:pPr>
        <w:spacing w:line="480" w:lineRule="auto"/>
        <w:ind w:firstLine="720"/>
      </w:pPr>
      <w:r>
        <w:rPr>
          <w:rFonts w:ascii="Times New Roman" w:hAnsi="Times New Roman"/>
          <w:sz w:val="24"/>
        </w:rPr>
        <w:t>Judge 1: k3-agent; Judge 2: deepseek-chat. Source: `judge_reliability_full_summary.json`.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