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Laporan Keberlanjutan Adaro 2026</w:t>
      </w:r>
    </w:p>
    <w:p>
      <w:r>
        <w:t>Adaro Andalan Indonesia berkomitmen pada produksi energi bersih dan penurunan emisi karbon.</w:t>
      </w:r>
    </w:p>
    <w:p>
      <w:r>
        <w:t>Target emisi scope 1 turun 15% pada 2026 dibanding baseline 2023.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