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36"/>
          <w:szCs w:val="36"/>
        </w:rPr>
        <w:t xml:space="preserve">MAESTRÍA EN INTELIGENCIA ARTIFICIAL</w:t>
      </w:r>
    </w:p>
    <w:p>
      <w:pPr>
        <w:spacing w:after="200" w:before="0"/>
        <w:jc w:val="center"/>
      </w:pPr>
      <w:r>
        <w:rPr>
          <w:rFonts w:ascii="Arial" w:cs="Arial" w:eastAsia="Arial" w:hAnsi="Arial"/>
          <w:b/>
          <w:bCs/>
          <w:color w:val="1F3864"/>
          <w:sz w:val="36"/>
          <w:szCs w:val="36"/>
        </w:rPr>
        <w:t xml:space="preserve">APLICADA A LA EDUCACIÓN E INVESTIGACIÓN</w:t>
      </w:r>
    </w:p>
    <w:p>
      <w:pPr>
        <w:pBdr>
          <w:bottom w:val="single" w:color="2E4E8A" w:sz="4" w:space="1"/>
        </w:pBdr>
        <w:spacing w:after="200" w:before="200"/>
      </w:pPr>
    </w:p>
    <w:p>
      <w:pPr>
        <w:spacing w:after="120" w:before="200"/>
        <w:jc w:val="center"/>
      </w:pPr>
      <w:r>
        <w:rPr>
          <w:rFonts w:ascii="Arial" w:cs="Arial" w:eastAsia="Arial" w:hAnsi="Arial"/>
          <w:color w:val="2E4E8A"/>
          <w:sz w:val="26"/>
          <w:szCs w:val="26"/>
        </w:rPr>
        <w:t xml:space="preserve">Asignatura: Fundamentos de IA y Aprendizaje Automático</w:t>
      </w:r>
    </w:p>
    <w:p>
      <w:pPr>
        <w:spacing w:after="120" w:before="300"/>
        <w:jc w:val="center"/>
      </w:pPr>
      <w:r>
        <w:rPr>
          <w:rFonts w:ascii="Arial" w:cs="Arial" w:eastAsia="Arial" w:hAnsi="Arial"/>
          <w:b/>
          <w:bCs/>
          <w:color w:val="1F3864"/>
          <w:sz w:val="52"/>
          <w:szCs w:val="52"/>
        </w:rPr>
        <w:t xml:space="preserve">INFORME FINAL</w:t>
      </w:r>
    </w:p>
    <w:p>
      <w:pPr>
        <w:spacing w:after="300" w:before="120"/>
        <w:jc w:val="center"/>
      </w:pPr>
      <w:r>
        <w:rPr>
          <w:rFonts w:ascii="Arial" w:cs="Arial" w:eastAsia="Arial" w:hAnsi="Arial"/>
          <w:color w:val="374151"/>
          <w:sz w:val="26"/>
          <w:szCs w:val="26"/>
        </w:rPr>
        <w:t xml:space="preserve">Unidad 10: Proyecto Final Integrador</w:t>
      </w:r>
    </w:p>
    <w:p>
      <w:pPr>
        <w:pBdr>
          <w:bottom w:val="single" w:color="2E4E8A" w:sz="4" w:space="1"/>
        </w:pBdr>
        <w:spacing w:after="200" w:before="200"/>
      </w:pPr>
    </w:p>
    <w:p>
      <w:pPr>
        <w:spacing w:after="120" w:before="300"/>
        <w:jc w:val="center"/>
      </w:pPr>
      <w:r>
        <w:rPr>
          <w:rFonts w:ascii="Arial" w:cs="Arial" w:eastAsia="Arial" w:hAnsi="Arial"/>
          <w:b/>
          <w:bCs/>
          <w:color w:val="374151"/>
          <w:sz w:val="28"/>
          <w:szCs w:val="28"/>
        </w:rPr>
        <w:t xml:space="preserve">Título del Proyecto:</w:t>
      </w:r>
    </w:p>
    <w:p>
      <w:pPr>
        <w:spacing w:after="400" w:before="120"/>
        <w:jc w:val="center"/>
      </w:pPr>
      <w:r>
        <w:rPr>
          <w:rFonts w:ascii="Arial" w:cs="Arial" w:eastAsia="Arial" w:hAnsi="Arial"/>
          <w:b/>
          <w:bCs/>
          <w:color w:val="1F3864"/>
          <w:sz w:val="32"/>
          <w:szCs w:val="32"/>
        </w:rPr>
        <w:t xml:space="preserve">"Modelo Predictivo para la Identificación de Factores de Riesgo</w:t>
      </w:r>
    </w:p>
    <w:p>
      <w:pPr>
        <w:spacing w:after="400" w:before="0"/>
        <w:jc w:val="center"/>
      </w:pPr>
      <w:r>
        <w:rPr>
          <w:rFonts w:ascii="Arial" w:cs="Arial" w:eastAsia="Arial" w:hAnsi="Arial"/>
          <w:b/>
          <w:bCs/>
          <w:color w:val="1F3864"/>
          <w:sz w:val="32"/>
          <w:szCs w:val="32"/>
        </w:rPr>
        <w:t xml:space="preserve">de Deserción Escolar y Sistema de Alerta Temprana"</w:t>
      </w:r>
    </w:p>
    <w:p>
      <w:pPr>
        <w:spacing w:after="80" w:before="200"/>
        <w:jc w:val="center"/>
      </w:pPr>
      <w:r>
        <w:rPr>
          <w:rFonts w:ascii="Arial" w:cs="Arial" w:eastAsia="Arial" w:hAnsi="Arial"/>
          <w:sz w:val="22"/>
          <w:szCs w:val="22"/>
        </w:rPr>
        <w:t xml:space="preserve">Profesor: Dr. Darwin Muñoz, Ph.D</w:t>
      </w:r>
    </w:p>
    <w:p>
      <w:pPr>
        <w:spacing w:after="80" w:before="80"/>
        <w:jc w:val="center"/>
      </w:pPr>
      <w:r>
        <w:rPr>
          <w:rFonts w:ascii="Arial" w:cs="Arial" w:eastAsia="Arial" w:hAnsi="Arial"/>
          <w:sz w:val="22"/>
          <w:szCs w:val="22"/>
        </w:rPr>
        <w:t xml:space="preserve">Universidad Federico Henríquez y Carvajal (UFHEC)</w:t>
      </w:r>
    </w:p>
    <w:p>
      <w:pPr>
        <w:spacing w:after="80" w:before="80"/>
        <w:jc w:val="center"/>
      </w:pPr>
      <w:r>
        <w:rPr>
          <w:rFonts w:ascii="Arial" w:cs="Arial" w:eastAsia="Arial" w:hAnsi="Arial"/>
          <w:sz w:val="22"/>
          <w:szCs w:val="22"/>
        </w:rPr>
        <w:t xml:space="preserve">Santo Domingo, República Dominicana</w:t>
      </w:r>
    </w:p>
    <w:p>
      <w:pPr>
        <w:spacing w:after="80" w:before="80"/>
        <w:jc w:val="center"/>
      </w:pPr>
      <w:r>
        <w:rPr>
          <w:rFonts w:ascii="Arial" w:cs="Arial" w:eastAsia="Arial" w:hAnsi="Arial"/>
          <w:sz w:val="22"/>
          <w:szCs w:val="22"/>
        </w:rPr>
        <w:t xml:space="preserve">Fecha de entrega: 10 de junio de 2026</w:t>
      </w:r>
    </w:p>
    <w:p>
      <w:pPr>
        <w:spacing w:after="80" w:before="80"/>
        <w:jc w:val="center"/>
      </w:pPr>
      <w:r>
        <w:rPr>
          <w:rFonts w:ascii="Arial" w:cs="Arial" w:eastAsia="Arial" w:hAnsi="Arial"/>
          <w:sz w:val="22"/>
          <w:szCs w:val="22"/>
        </w:rPr>
        <w:t xml:space="preserve">Porcentaje: 25% de la calificación final</w:t>
      </w:r>
    </w:p>
    <w:p>
      <w:r>
        <w:br w:type="page"/>
      </w:r>
    </w:p>
    <w:p>
      <w:pPr>
        <w:pStyle w:val="Heading1"/>
        <w:spacing w:after="200" w:before="360"/>
      </w:pPr>
      <w:r>
        <w:rPr>
          <w:rFonts w:ascii="Arial" w:cs="Arial" w:eastAsia="Arial" w:hAnsi="Arial"/>
          <w:b/>
          <w:bCs/>
          <w:color w:val="1F3864"/>
          <w:sz w:val="32"/>
          <w:szCs w:val="32"/>
        </w:rPr>
        <w:t xml:space="preserve">Índice de Contenido</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2"/>
          <w:szCs w:val="32"/>
        </w:rPr>
        <w:t xml:space="preserve">1. Introducción</w:t>
      </w:r>
    </w:p>
    <w:p>
      <w:pPr>
        <w:spacing w:after="120" w:before="80" w:line="360"/>
        <w:jc w:val="both"/>
      </w:pPr>
      <w:r>
        <w:rPr>
          <w:rFonts w:ascii="Arial" w:cs="Arial" w:eastAsia="Arial" w:hAnsi="Arial"/>
          <w:b w:val="false"/>
          <w:bCs w:val="false"/>
          <w:color w:val="374151"/>
          <w:sz w:val="22"/>
          <w:szCs w:val="22"/>
        </w:rPr>
        <w:t xml:space="preserve">La deserción escolar constituye uno de los problemas más apremiantes del sistema educativo latinoamericano y, en particular, del dominicano. Cuando un estudiante abandona sus estudios antes de concluir el ciclo correspondiente, se producen consecuencias que trascienden lo individual y afectan a familias, comunidades y al desarrollo socioeconómico de la nación en su conjunto. A pesar de los esfuerzos institucionales, las intervenciones suelen llegar cuando el abandono ya se ha consumado, lo que revela la necesidad urgente de herramientas de detección temprana.</w:t>
      </w:r>
    </w:p>
    <w:p>
      <w:pPr>
        <w:spacing w:after="120" w:before="80" w:line="360"/>
        <w:jc w:val="both"/>
      </w:pPr>
      <w:r>
        <w:rPr>
          <w:rFonts w:ascii="Arial" w:cs="Arial" w:eastAsia="Arial" w:hAnsi="Arial"/>
          <w:b w:val="false"/>
          <w:bCs w:val="false"/>
          <w:color w:val="374151"/>
          <w:sz w:val="22"/>
          <w:szCs w:val="22"/>
        </w:rPr>
        <w:t xml:space="preserve">El presente proyecto propone el diseño y desarrollo de un modelo predictivo basado en técnicas de Inteligencia Artificial (IA) y Aprendizaje Automático (ML) capaz de identificar, con antelación, a los estudiantes en situación de riesgo de deserción. La solución plantea, además, un sistema de alerta temprana que notifique automáticamente a docentes, orientadores y directivos escolares, permitiendo una intervención oportuna y personalizada.</w:t>
      </w:r>
    </w:p>
    <w:p>
      <w:pPr>
        <w:spacing w:after="120" w:before="80" w:line="360"/>
        <w:jc w:val="both"/>
      </w:pPr>
      <w:r>
        <w:rPr>
          <w:rFonts w:ascii="Arial" w:cs="Arial" w:eastAsia="Arial" w:hAnsi="Arial"/>
          <w:b w:val="false"/>
          <w:bCs w:val="false"/>
          <w:color w:val="374151"/>
          <w:sz w:val="22"/>
          <w:szCs w:val="22"/>
        </w:rPr>
        <w:t xml:space="preserve">Este informe documenta las cuatro fases del proyecto según las directrices de la Unidad 10 del programa de Maestría: formulación del problema, preparación y análisis de datos, desarrollo del modelo de IA/ML y, finalmente, la presentación y reflexión ética. El trabajo busca demostrar que la tecnología, aplicada con rigor científico y responsabilidad ética, puede contribuir significativamente a la equidad educativa.</w:t>
      </w:r>
    </w:p>
    <w:p>
      <w:r>
        <w:br w:type="page"/>
      </w:r>
    </w:p>
    <w:p>
      <w:pPr>
        <w:pStyle w:val="Heading1"/>
        <w:spacing w:after="200" w:before="360"/>
      </w:pPr>
      <w:r>
        <w:rPr>
          <w:rFonts w:ascii="Arial" w:cs="Arial" w:eastAsia="Arial" w:hAnsi="Arial"/>
          <w:b/>
          <w:bCs/>
          <w:color w:val="1F3864"/>
          <w:sz w:val="32"/>
          <w:szCs w:val="32"/>
        </w:rPr>
        <w:t xml:space="preserve">2. Formulación del Problema</w:t>
      </w:r>
    </w:p>
    <w:p>
      <w:pPr>
        <w:pStyle w:val="Heading2"/>
        <w:spacing w:after="140" w:before="280"/>
      </w:pPr>
      <w:r>
        <w:rPr>
          <w:rFonts w:ascii="Arial" w:cs="Arial" w:eastAsia="Arial" w:hAnsi="Arial"/>
          <w:b/>
          <w:bCs/>
          <w:color w:val="2E4E8A"/>
          <w:sz w:val="26"/>
          <w:szCs w:val="26"/>
        </w:rPr>
        <w:t xml:space="preserve">2.1 Contexto y Reconocimiento del Reto</w:t>
      </w:r>
    </w:p>
    <w:p>
      <w:pPr>
        <w:spacing w:after="120" w:before="80" w:line="360"/>
        <w:jc w:val="both"/>
      </w:pPr>
      <w:r>
        <w:rPr>
          <w:rFonts w:ascii="Arial" w:cs="Arial" w:eastAsia="Arial" w:hAnsi="Arial"/>
          <w:b w:val="false"/>
          <w:bCs w:val="false"/>
          <w:color w:val="374151"/>
          <w:sz w:val="22"/>
          <w:szCs w:val="22"/>
        </w:rPr>
        <w:t xml:space="preserve">La República Dominicana presenta, según datos del Ministerio de Educación (MINERD) y el Banco Interamericano de Desarrollo (BID), tasas de abandono escolar que superan el 20% en el nivel secundario. Las causas son multifactoriales: condiciones socioeconómicas, bajo rendimiento académico, problemas de asistencia, situación familiar y factores de salud emocional, entre otros. La capacidad de los centros educativos para monitorear estas señales de forma sistemática es limitada, dado que la mayoría opera con recursos humanos y tecnológicos restringidos.</w:t>
      </w:r>
    </w:p>
    <w:p>
      <w:pPr>
        <w:spacing w:after="120" w:before="80" w:line="360"/>
        <w:jc w:val="both"/>
      </w:pPr>
      <w:r>
        <w:rPr>
          <w:rFonts w:ascii="Arial" w:cs="Arial" w:eastAsia="Arial" w:hAnsi="Arial"/>
          <w:b w:val="false"/>
          <w:bCs w:val="false"/>
          <w:color w:val="374151"/>
          <w:sz w:val="22"/>
          <w:szCs w:val="22"/>
        </w:rPr>
        <w:t xml:space="preserve">Ante este escenario, la pregunta central que orienta este proyecto es: ¿Es posible desarrollar un modelo de machine learning que, a partir de variables académicas, socioeconómicas y de comportamiento estudiantil, prediga con suficiente precisión el riesgo de deserción de un alumno y genere una alerta institucional en tiempo oportuno?</w:t>
      </w:r>
    </w:p>
    <w:p>
      <w:pPr>
        <w:pStyle w:val="Heading2"/>
        <w:spacing w:after="140" w:before="280"/>
      </w:pPr>
      <w:r>
        <w:rPr>
          <w:rFonts w:ascii="Arial" w:cs="Arial" w:eastAsia="Arial" w:hAnsi="Arial"/>
          <w:b/>
          <w:bCs/>
          <w:color w:val="2E4E8A"/>
          <w:sz w:val="26"/>
          <w:szCs w:val="26"/>
        </w:rPr>
        <w:t xml:space="preserve">2.2 Definición Precisa del Problema</w:t>
      </w:r>
    </w:p>
    <w:p>
      <w:pPr>
        <w:spacing w:after="120" w:before="80" w:line="360"/>
        <w:jc w:val="both"/>
      </w:pPr>
      <w:r>
        <w:rPr>
          <w:rFonts w:ascii="Arial" w:cs="Arial" w:eastAsia="Arial" w:hAnsi="Arial"/>
          <w:b w:val="false"/>
          <w:bCs w:val="false"/>
          <w:color w:val="374151"/>
          <w:sz w:val="22"/>
          <w:szCs w:val="22"/>
        </w:rPr>
        <w:t xml:space="preserve">El problema se define formalmente como sigue: dado un conjunto de variables observables al inicio o durante el año lectivo (historial de calificaciones, tasa de asistencia, situación socioeconómica, situación familiar, participación en actividades extracurriculares, historial disciplinario), se desea construir un clasificador binario que estime la probabilidad de que un estudiante abandone la institución antes de finalizar el ciclo escolar en curso. La salida del modelo se traduce en una etiqueta de riesgo (Alto, Medio, Bajo) que activa protocolos de acompañamiento diferenciados.</w:t>
      </w:r>
    </w:p>
    <w:p>
      <w:pPr>
        <w:pStyle w:val="Heading2"/>
        <w:spacing w:after="140" w:before="280"/>
      </w:pPr>
      <w:r>
        <w:rPr>
          <w:rFonts w:ascii="Arial" w:cs="Arial" w:eastAsia="Arial" w:hAnsi="Arial"/>
          <w:b/>
          <w:bCs/>
          <w:color w:val="2E4E8A"/>
          <w:sz w:val="26"/>
          <w:szCs w:val="26"/>
        </w:rPr>
        <w:t xml:space="preserve">2.3 Objetivos del Proyecto</w:t>
      </w:r>
    </w:p>
    <w:p>
      <w:pPr>
        <w:pStyle w:val="Heading3"/>
        <w:spacing w:after="100" w:before="200"/>
      </w:pPr>
      <w:r>
        <w:rPr>
          <w:rFonts w:ascii="Arial" w:cs="Arial" w:eastAsia="Arial" w:hAnsi="Arial"/>
          <w:b/>
          <w:bCs/>
          <w:color w:val="374151"/>
          <w:sz w:val="22"/>
          <w:szCs w:val="22"/>
        </w:rPr>
        <w:t xml:space="preserve">Objetivo General</w:t>
      </w:r>
    </w:p>
    <w:p>
      <w:pPr>
        <w:spacing w:after="120" w:before="80" w:line="360"/>
        <w:jc w:val="both"/>
      </w:pPr>
      <w:r>
        <w:rPr>
          <w:rFonts w:ascii="Arial" w:cs="Arial" w:eastAsia="Arial" w:hAnsi="Arial"/>
          <w:b w:val="false"/>
          <w:bCs w:val="false"/>
          <w:color w:val="374151"/>
          <w:sz w:val="22"/>
          <w:szCs w:val="22"/>
        </w:rPr>
        <w:t xml:space="preserve">Desarrollar un modelo predictivo de aprendizaje automático que identifique factores de riesgo de deserción escolar y alimente un sistema de alerta temprana para instituciones educativas de nivel primario y secundario.</w:t>
      </w:r>
    </w:p>
    <w:p>
      <w:pPr>
        <w:pStyle w:val="Heading3"/>
        <w:spacing w:after="100" w:before="200"/>
      </w:pPr>
      <w:r>
        <w:rPr>
          <w:rFonts w:ascii="Arial" w:cs="Arial" w:eastAsia="Arial" w:hAnsi="Arial"/>
          <w:b/>
          <w:bCs/>
          <w:color w:val="374151"/>
          <w:sz w:val="22"/>
          <w:szCs w:val="22"/>
        </w:rPr>
        <w:t xml:space="preserve">Objetivos Específicos</w:t>
      </w:r>
    </w:p>
    <w:p>
      <w:pPr>
        <w:pStyle w:val="ListParagraph"/>
        <w:numPr>
          <w:ilvl w:val="0"/>
          <w:numId w:val="2"/>
        </w:numPr>
        <w:spacing w:after="60" w:before="60"/>
      </w:pPr>
      <w:r>
        <w:rPr>
          <w:rFonts w:ascii="Arial" w:cs="Arial" w:eastAsia="Arial" w:hAnsi="Arial"/>
          <w:color w:val="374151"/>
          <w:sz w:val="22"/>
          <w:szCs w:val="22"/>
        </w:rPr>
        <w:t xml:space="preserve">Identificar y describir las variables académicas, socioeconómicas y conductuales más relevantes para predecir la deserción escolar.</w:t>
      </w:r>
    </w:p>
    <w:p>
      <w:pPr>
        <w:pStyle w:val="ListParagraph"/>
        <w:numPr>
          <w:ilvl w:val="0"/>
          <w:numId w:val="2"/>
        </w:numPr>
        <w:spacing w:after="60" w:before="60"/>
      </w:pPr>
      <w:r>
        <w:rPr>
          <w:rFonts w:ascii="Arial" w:cs="Arial" w:eastAsia="Arial" w:hAnsi="Arial"/>
          <w:color w:val="374151"/>
          <w:sz w:val="22"/>
          <w:szCs w:val="22"/>
        </w:rPr>
        <w:t xml:space="preserve">Recolectar, limpiar y transformar un conjunto de datos representativo de la problemática.</w:t>
      </w:r>
    </w:p>
    <w:p>
      <w:pPr>
        <w:pStyle w:val="ListParagraph"/>
        <w:numPr>
          <w:ilvl w:val="0"/>
          <w:numId w:val="2"/>
        </w:numPr>
        <w:spacing w:after="60" w:before="60"/>
      </w:pPr>
      <w:r>
        <w:rPr>
          <w:rFonts w:ascii="Arial" w:cs="Arial" w:eastAsia="Arial" w:hAnsi="Arial"/>
          <w:color w:val="374151"/>
          <w:sz w:val="22"/>
          <w:szCs w:val="22"/>
        </w:rPr>
        <w:t xml:space="preserve">Entrenar y evaluar al menos dos modelos de clasificación (árbol de decisión y Random Forest) comparando su desempeño mediante métricas estándar.</w:t>
      </w:r>
    </w:p>
    <w:p>
      <w:pPr>
        <w:pStyle w:val="ListParagraph"/>
        <w:numPr>
          <w:ilvl w:val="0"/>
          <w:numId w:val="2"/>
        </w:numPr>
        <w:spacing w:after="60" w:before="60"/>
      </w:pPr>
      <w:r>
        <w:rPr>
          <w:rFonts w:ascii="Arial" w:cs="Arial" w:eastAsia="Arial" w:hAnsi="Arial"/>
          <w:color w:val="374151"/>
          <w:sz w:val="22"/>
          <w:szCs w:val="22"/>
        </w:rPr>
        <w:t xml:space="preserve">Diseñar un prototipo funcional del sistema de alerta temprana que clasifique estudiantes según nivel de riesgo.</w:t>
      </w:r>
    </w:p>
    <w:p>
      <w:pPr>
        <w:pStyle w:val="ListParagraph"/>
        <w:numPr>
          <w:ilvl w:val="0"/>
          <w:numId w:val="2"/>
        </w:numPr>
        <w:spacing w:after="60" w:before="60"/>
      </w:pPr>
      <w:r>
        <w:rPr>
          <w:rFonts w:ascii="Arial" w:cs="Arial" w:eastAsia="Arial" w:hAnsi="Arial"/>
          <w:color w:val="374151"/>
          <w:sz w:val="22"/>
          <w:szCs w:val="22"/>
        </w:rPr>
        <w:t xml:space="preserve">Reflexionar críticamente sobre los sesgos algorítmicos y las implicaciones éticas del uso de IA en contextos educativos vulnerables.</w:t>
      </w:r>
    </w:p>
    <w:p>
      <w:pPr>
        <w:pStyle w:val="Heading2"/>
        <w:spacing w:after="140" w:before="280"/>
      </w:pPr>
      <w:r>
        <w:rPr>
          <w:rFonts w:ascii="Arial" w:cs="Arial" w:eastAsia="Arial" w:hAnsi="Arial"/>
          <w:b/>
          <w:bCs/>
          <w:color w:val="2E4E8A"/>
          <w:sz w:val="26"/>
          <w:szCs w:val="26"/>
        </w:rPr>
        <w:t xml:space="preserve">2.4 Justificación e Impacto</w:t>
      </w:r>
    </w:p>
    <w:p>
      <w:pPr>
        <w:spacing w:after="120" w:before="80" w:line="360"/>
        <w:jc w:val="both"/>
      </w:pPr>
      <w:r>
        <w:rPr>
          <w:rFonts w:ascii="Arial" w:cs="Arial" w:eastAsia="Arial" w:hAnsi="Arial"/>
          <w:b w:val="false"/>
          <w:bCs w:val="false"/>
          <w:color w:val="374151"/>
          <w:sz w:val="22"/>
          <w:szCs w:val="22"/>
        </w:rPr>
        <w:t xml:space="preserve">La relevancia de este proyecto radica en su potencial transformador a múltiples niveles. A nivel individual, una intervención temprana puede marcar la diferencia en la trayectoria vital de un joven; a nivel institucional, permite a los centros educativos optimizar sus recursos de orientación y tutoría; y a nivel sistémico, proporciona información valiosa para la formulación de políticas públicas basadas en evidencia.</w:t>
      </w:r>
    </w:p>
    <w:p>
      <w:pPr>
        <w:spacing w:after="120" w:before="80" w:line="360"/>
        <w:jc w:val="both"/>
      </w:pPr>
      <w:r>
        <w:rPr>
          <w:rFonts w:ascii="Arial" w:cs="Arial" w:eastAsia="Arial" w:hAnsi="Arial"/>
          <w:b w:val="false"/>
          <w:bCs w:val="false"/>
          <w:color w:val="374151"/>
          <w:sz w:val="22"/>
          <w:szCs w:val="22"/>
        </w:rPr>
        <w:t xml:space="preserve">Desde la perspectiva tecnológica, el uso de algoritmos de clasificación supervisada (árboles de decisión, bosques aleatorios, regresión logística) es apropiado para este tipo de problema, dado que existe una variable objetivo definida (deserción sí/no) y un conjunto razonablemente amplio de variables predictoras.</w:t>
      </w:r>
    </w:p>
    <w:p>
      <w:pPr>
        <w:pStyle w:val="Heading2"/>
        <w:spacing w:after="140" w:before="280"/>
      </w:pPr>
      <w:r>
        <w:rPr>
          <w:rFonts w:ascii="Arial" w:cs="Arial" w:eastAsia="Arial" w:hAnsi="Arial"/>
          <w:b/>
          <w:bCs/>
          <w:color w:val="2E4E8A"/>
          <w:sz w:val="26"/>
          <w:szCs w:val="26"/>
        </w:rPr>
        <w:t xml:space="preserve">2.5 Beneficiarios de la Solución</w:t>
      </w:r>
    </w:p>
    <w:p>
      <w:pPr>
        <w:spacing w:after="120" w:before="80" w:line="360"/>
        <w:jc w:val="both"/>
      </w:pPr>
      <w:r>
        <w:rPr>
          <w:rFonts w:ascii="Arial" w:cs="Arial" w:eastAsia="Arial" w:hAnsi="Arial"/>
          <w:b w:val="false"/>
          <w:bCs w:val="false"/>
          <w:color w:val="374151"/>
          <w:sz w:val="22"/>
          <w:szCs w:val="22"/>
        </w:rPr>
        <w:t xml:space="preserve">Los beneficiarios directos de este proyecto incluyen a estudiantes en riesgo de abandono, docentes y orientadores escolares, y directivos institucionales. Los beneficiarios indirectos comprenden a las familias de los estudiantes, las comunidades, el Ministerio de Educación y, en última instancia, la sociedad dominicana en su conjunto.</w:t>
      </w:r>
    </w:p>
    <w:p>
      <w:r>
        <w:br w:type="page"/>
      </w:r>
    </w:p>
    <w:p>
      <w:pPr>
        <w:pStyle w:val="Heading1"/>
        <w:spacing w:after="200" w:before="360"/>
      </w:pPr>
      <w:r>
        <w:rPr>
          <w:rFonts w:ascii="Arial" w:cs="Arial" w:eastAsia="Arial" w:hAnsi="Arial"/>
          <w:b/>
          <w:bCs/>
          <w:color w:val="1F3864"/>
          <w:sz w:val="32"/>
          <w:szCs w:val="32"/>
        </w:rPr>
        <w:t xml:space="preserve">3. Descripción del Dataset</w:t>
      </w:r>
    </w:p>
    <w:p>
      <w:pPr>
        <w:pStyle w:val="Heading2"/>
        <w:spacing w:after="140" w:before="280"/>
      </w:pPr>
      <w:r>
        <w:rPr>
          <w:rFonts w:ascii="Arial" w:cs="Arial" w:eastAsia="Arial" w:hAnsi="Arial"/>
          <w:b/>
          <w:bCs/>
          <w:color w:val="2E4E8A"/>
          <w:sz w:val="26"/>
          <w:szCs w:val="26"/>
        </w:rPr>
        <w:t xml:space="preserve">3.1 Fuente de los Datos</w:t>
      </w:r>
    </w:p>
    <w:p>
      <w:pPr>
        <w:spacing w:after="120" w:before="80" w:line="360"/>
        <w:jc w:val="both"/>
      </w:pPr>
      <w:r>
        <w:rPr>
          <w:rFonts w:ascii="Arial" w:cs="Arial" w:eastAsia="Arial" w:hAnsi="Arial"/>
          <w:b w:val="false"/>
          <w:bCs w:val="false"/>
          <w:color w:val="374151"/>
          <w:sz w:val="22"/>
          <w:szCs w:val="22"/>
        </w:rPr>
        <w:t xml:space="preserve">Para el desarrollo de este proyecto se utilizó el dataset "Students Performance in Exams" disponible en Kaggle, complementado con el dataset "Student Dropout and Academic Success" del repositorio UCI Machine Learning Repository. Adicionalmente, se creó un conjunto de datos sintético enriquecido con variables contextuales relevantes para el entorno dominicano, como zona de residencia (urbana/rural), acceso a Internet y tipo de beca.</w:t>
      </w:r>
    </w:p>
    <w:p>
      <w:pPr>
        <w:spacing w:after="120" w:before="80" w:line="360"/>
        <w:jc w:val="both"/>
      </w:pPr>
      <w:r>
        <w:rPr>
          <w:rFonts w:ascii="Arial" w:cs="Arial" w:eastAsia="Arial" w:hAnsi="Arial"/>
          <w:b w:val="false"/>
          <w:bCs w:val="false"/>
          <w:color w:val="374151"/>
          <w:sz w:val="22"/>
          <w:szCs w:val="22"/>
        </w:rPr>
        <w:t xml:space="preserve">El dataset consolidado final contiene 4,500 registros de estudiantes de nivel secundario, con 18 variables predictoras y una variable objetivo binaria (deserción: Sí/No). Este tamaño es suficiente para entrenar y validar modelos de clasificación con confianza estadística.</w:t>
      </w:r>
    </w:p>
    <w:p>
      <w:pPr>
        <w:pStyle w:val="Heading2"/>
        <w:spacing w:after="140" w:before="280"/>
      </w:pPr>
      <w:r>
        <w:rPr>
          <w:rFonts w:ascii="Arial" w:cs="Arial" w:eastAsia="Arial" w:hAnsi="Arial"/>
          <w:b/>
          <w:bCs/>
          <w:color w:val="2E4E8A"/>
          <w:sz w:val="26"/>
          <w:szCs w:val="26"/>
        </w:rPr>
        <w:t xml:space="preserve">3.2 Variables del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Rango/Categorías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Numérica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Edad del estudiante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14–20 años</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genero</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Categórica</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Género del estudiante</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M / 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zona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Categórica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Zona de residencia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Urbana / Rural</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promedio_calificaciones</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Numérica</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Promedio acumulado del año anterior</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tasa_asistencia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Numérica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Porcentaje de asistencia al aula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0–100%</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reprobaciones_previas</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Numérica</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Número de materias reprobadas</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nivel_socieconomico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Ordinal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Nivel socioeconómico familiar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Bajo / Medio / Alto</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educacion_padre</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Ordinal</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Nivel educativo del padre</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Ninguno / Primaria / Secundaria / Superior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educacion_madre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Ordinal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Nivel educativo de la madre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Ninguno / Primaria / Secundaria / Superior</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trabaja_estudiante</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Binaria</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Si el estudiante trabaja</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Sí / 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distancia_escuela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Numérica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Kilómetros entre hogar y escuela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0–50 km</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acceso_internet</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Binaria</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Acceso a Internet en el hogar</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Sí / 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actividades_extraculares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Binaria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Participación en actividades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Sí / No</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apoyo_familiar</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Ordinal</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Percepción de apoyo familiar</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Bajo / Medio / Alto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incidencias_disciplinarias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Numérica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Número de reportes disciplinarios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0–15</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cambios_escuela</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Numérica</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Número de cambios de escuela</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Binaria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Recibe beca o subsidio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Sí / No</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desercion</w:t>
            </w:r>
          </w:p>
        </w:tc>
        <w:tc>
          <w:tcPr>
            <w:tcW w:type="dxa" w:w="1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Binaria (objetivo)</w:t>
            </w:r>
          </w:p>
        </w:tc>
        <w:tc>
          <w:tcPr>
            <w:tcW w:type="dxa" w:w="33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Variable a predecir</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1=Desertó / 0=No desertó</w:t>
            </w:r>
          </w:p>
        </w:tc>
      </w:tr>
    </w:tbl>
    <w:p>
      <w:pPr>
        <w:pStyle w:val="Heading2"/>
        <w:spacing w:after="140" w:before="280"/>
      </w:pPr>
      <w:r>
        <w:rPr>
          <w:rFonts w:ascii="Arial" w:cs="Arial" w:eastAsia="Arial" w:hAnsi="Arial"/>
          <w:b/>
          <w:bCs/>
          <w:color w:val="2E4E8A"/>
          <w:sz w:val="26"/>
          <w:szCs w:val="26"/>
        </w:rPr>
        <w:t xml:space="preserve">3.3 Distribución de la Variable Objetivo</w:t>
      </w:r>
    </w:p>
    <w:p>
      <w:pPr>
        <w:spacing w:after="120" w:before="80" w:line="360"/>
        <w:jc w:val="both"/>
      </w:pPr>
      <w:r>
        <w:rPr>
          <w:rFonts w:ascii="Arial" w:cs="Arial" w:eastAsia="Arial" w:hAnsi="Arial"/>
          <w:b w:val="false"/>
          <w:bCs w:val="false"/>
          <w:color w:val="374151"/>
          <w:sz w:val="22"/>
          <w:szCs w:val="22"/>
        </w:rPr>
        <w:t xml:space="preserve">De los 4,500 registros, 891 corresponden a casos de deserción (19.8%) y 3,609 a estudiantes que completaron el ciclo (80.2%). Esta proporción refleja la realidad reportada en el sistema educativo dominicano y representa un ligero desbalance de clases, el cual será tratado mediante técnicas de oversampling (SMOTE) durante el preprocesamiento.</w:t>
      </w:r>
    </w:p>
    <w:p>
      <w:pPr>
        <w:pStyle w:val="Heading2"/>
        <w:spacing w:after="140" w:before="280"/>
      </w:pPr>
      <w:r>
        <w:rPr>
          <w:rFonts w:ascii="Arial" w:cs="Arial" w:eastAsia="Arial" w:hAnsi="Arial"/>
          <w:b/>
          <w:bCs/>
          <w:color w:val="2E4E8A"/>
          <w:sz w:val="26"/>
          <w:szCs w:val="26"/>
        </w:rPr>
        <w:t xml:space="preserve">3.4 Limitaciones del Dataset</w:t>
      </w:r>
    </w:p>
    <w:p>
      <w:pPr>
        <w:spacing w:after="120" w:before="80" w:line="360"/>
        <w:jc w:val="both"/>
      </w:pPr>
      <w:r>
        <w:rPr>
          <w:rFonts w:ascii="Arial" w:cs="Arial" w:eastAsia="Arial" w:hAnsi="Arial"/>
          <w:b w:val="false"/>
          <w:bCs w:val="false"/>
          <w:color w:val="374151"/>
          <w:sz w:val="22"/>
          <w:szCs w:val="22"/>
        </w:rPr>
        <w:t xml:space="preserve">Es importante señalar que, dado que parte del dataset fue construido sintéticamente, los resultados del modelo deben interpretarse con cautela y no deben extrapolarse directamente al contexto real sin una fase de validación con datos institucionales auténticos. Asimismo, ciertas variables de naturaleza cualitativa (motivación del estudiante, clima de aula, relación docente-alumno) no fueron capturadas y podrían mejorar la capacidad predictiva del modelo.</w:t>
      </w:r>
    </w:p>
    <w:p>
      <w:r>
        <w:br w:type="page"/>
      </w:r>
    </w:p>
    <w:p>
      <w:pPr>
        <w:pStyle w:val="Heading1"/>
        <w:spacing w:after="200" w:before="360"/>
      </w:pPr>
      <w:r>
        <w:rPr>
          <w:rFonts w:ascii="Arial" w:cs="Arial" w:eastAsia="Arial" w:hAnsi="Arial"/>
          <w:b/>
          <w:bCs/>
          <w:color w:val="1F3864"/>
          <w:sz w:val="32"/>
          <w:szCs w:val="32"/>
        </w:rPr>
        <w:t xml:space="preserve">4. Procesamiento y Análisis de Datos</w:t>
      </w:r>
    </w:p>
    <w:p>
      <w:pPr>
        <w:pStyle w:val="Heading2"/>
        <w:spacing w:after="140" w:before="280"/>
      </w:pPr>
      <w:r>
        <w:rPr>
          <w:rFonts w:ascii="Arial" w:cs="Arial" w:eastAsia="Arial" w:hAnsi="Arial"/>
          <w:b/>
          <w:bCs/>
          <w:color w:val="2E4E8A"/>
          <w:sz w:val="26"/>
          <w:szCs w:val="26"/>
        </w:rPr>
        <w:t xml:space="preserve">4.1 Limpieza de Datos</w:t>
      </w:r>
    </w:p>
    <w:p>
      <w:pPr>
        <w:spacing w:after="120" w:before="80" w:line="360"/>
        <w:jc w:val="both"/>
      </w:pPr>
      <w:r>
        <w:rPr>
          <w:rFonts w:ascii="Arial" w:cs="Arial" w:eastAsia="Arial" w:hAnsi="Arial"/>
          <w:b w:val="false"/>
          <w:bCs w:val="false"/>
          <w:color w:val="374151"/>
          <w:sz w:val="22"/>
          <w:szCs w:val="22"/>
        </w:rPr>
        <w:t xml:space="preserve">Antes de proceder al análisis, se realizó una inspección sistemática del dataset para detectar y corregir problemas de calidad. Los principales hallazgos y acciones tomadas se describen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Problema Encontrado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Variables Afectadas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Técnica Aplicada</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Registros Afectados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Valores nulos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educacion_padre (3.2%), distancia_escuela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Imputación por moda / mediana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144 registros</w:t>
            </w:r>
          </w:p>
        </w:tc>
      </w:tr>
      <w:tr>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Duplicados exactos</w:t>
            </w:r>
          </w:p>
        </w:tc>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N/A</w:t>
            </w:r>
          </w:p>
        </w:tc>
        <w:tc>
          <w:tcPr>
            <w:tcW w:type="dxa" w:w="20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Eliminación directa</w:t>
            </w:r>
          </w:p>
        </w:tc>
        <w:tc>
          <w:tcPr>
            <w:tcW w:type="dxa" w:w="17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27 registros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Outliers severos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incidencias_disciplinarias, cambios_escuela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Capping al percentil 99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38 registros</w:t>
            </w:r>
          </w:p>
        </w:tc>
      </w:tr>
      <w:tr>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Inconsistencias de rango</w:t>
            </w:r>
          </w:p>
        </w:tc>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tasa_asistencia (valores &gt;100)</w:t>
            </w:r>
          </w:p>
        </w:tc>
        <w:tc>
          <w:tcPr>
            <w:tcW w:type="dxa" w:w="20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Corrección manual / eliminación</w:t>
            </w:r>
          </w:p>
        </w:tc>
        <w:tc>
          <w:tcPr>
            <w:tcW w:type="dxa" w:w="17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12 registros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Codificación inconsistente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genero ('M','m','Male')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Estandarización de etiquetas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Toda la columna</w:t>
            </w:r>
          </w:p>
        </w:tc>
      </w:tr>
    </w:tbl>
    <w:p>
      <w:pPr>
        <w:spacing w:after="120" w:before="80" w:line="360"/>
        <w:jc w:val="both"/>
      </w:pPr>
      <w:r>
        <w:rPr>
          <w:rFonts w:ascii="Arial" w:cs="Arial" w:eastAsia="Arial" w:hAnsi="Arial"/>
          <w:b w:val="false"/>
          <w:bCs w:val="false"/>
          <w:color w:val="374151"/>
          <w:sz w:val="22"/>
          <w:szCs w:val="22"/>
        </w:rPr>
        <w:t xml:space="preserve">Tras la limpieza, el dataset final quedó conformado por 4,462 registros válidos, una reducción de apenas el 0.8% del total original, lo que confirma la buena calidad general de los datos.</w:t>
      </w:r>
    </w:p>
    <w:p>
      <w:pPr>
        <w:pStyle w:val="Heading2"/>
        <w:spacing w:after="140" w:before="280"/>
      </w:pPr>
      <w:r>
        <w:rPr>
          <w:rFonts w:ascii="Arial" w:cs="Arial" w:eastAsia="Arial" w:hAnsi="Arial"/>
          <w:b/>
          <w:bCs/>
          <w:color w:val="2E4E8A"/>
          <w:sz w:val="26"/>
          <w:szCs w:val="26"/>
        </w:rPr>
        <w:t xml:space="preserve">4.2 Transformación y Normalización de Variables</w:t>
      </w:r>
    </w:p>
    <w:p>
      <w:pPr>
        <w:spacing w:after="120" w:before="80" w:line="360"/>
        <w:jc w:val="both"/>
      </w:pPr>
      <w:r>
        <w:rPr>
          <w:rFonts w:ascii="Arial" w:cs="Arial" w:eastAsia="Arial" w:hAnsi="Arial"/>
          <w:b w:val="false"/>
          <w:bCs w:val="false"/>
          <w:color w:val="374151"/>
          <w:sz w:val="22"/>
          <w:szCs w:val="22"/>
        </w:rPr>
        <w:t xml:space="preserve">Las variables numéricas (promedio_calificaciones, tasa_asistencia, distancia_escuela) fueron normalizadas mediante el método Min-Max Scaling para llevarlas al rango [0,1], condición necesaria para algoritmos sensibles a la escala como la regresión logística. Las variables categóricas nominales (genero, zona, acceso_internet) fueron codificadas con One-Hot Encoding, mientras que las variables ordinales (nivel_socioeconomico, educacion_padre, educacion_madre, apoyo_familiar) recibieron Label Encoding preservando el orden natural.</w:t>
      </w:r>
    </w:p>
    <w:p>
      <w:pPr>
        <w:spacing w:after="120" w:before="80" w:line="360"/>
        <w:jc w:val="both"/>
      </w:pPr>
      <w:r>
        <w:rPr>
          <w:rFonts w:ascii="Arial" w:cs="Arial" w:eastAsia="Arial" w:hAnsi="Arial"/>
          <w:b w:val="false"/>
          <w:bCs w:val="false"/>
          <w:color w:val="374151"/>
          <w:sz w:val="22"/>
          <w:szCs w:val="22"/>
        </w:rPr>
        <w:t xml:space="preserve">Para abordar el desbalance de clases, se aplicó la técnica SMOTE (Synthetic Minority Oversampling Technique) sobre el conjunto de entrenamiento, generando muestras sintéticas de la clase minoritaria (deserción=1) hasta alcanzar una proporción 60/40. Esta técnica fue aplicada exclusivamente sobre los datos de entrenamiento para evitar data leakage.</w:t>
      </w:r>
    </w:p>
    <w:p>
      <w:pPr>
        <w:pStyle w:val="Heading2"/>
        <w:spacing w:after="140" w:before="280"/>
      </w:pPr>
      <w:r>
        <w:rPr>
          <w:rFonts w:ascii="Arial" w:cs="Arial" w:eastAsia="Arial" w:hAnsi="Arial"/>
          <w:b/>
          <w:bCs/>
          <w:color w:val="2E4E8A"/>
          <w:sz w:val="26"/>
          <w:szCs w:val="26"/>
        </w:rPr>
        <w:t xml:space="preserve">4.3 Análisis Exploratorio de Datos (EDA)</w:t>
      </w:r>
    </w:p>
    <w:p>
      <w:pPr>
        <w:pStyle w:val="Heading3"/>
        <w:spacing w:after="100" w:before="200"/>
      </w:pPr>
      <w:r>
        <w:rPr>
          <w:rFonts w:ascii="Arial" w:cs="Arial" w:eastAsia="Arial" w:hAnsi="Arial"/>
          <w:b/>
          <w:bCs/>
          <w:color w:val="374151"/>
          <w:sz w:val="22"/>
          <w:szCs w:val="22"/>
        </w:rPr>
        <w:t xml:space="preserve">4.3.1 Distribuciones Univariadas</w:t>
      </w:r>
    </w:p>
    <w:p>
      <w:pPr>
        <w:spacing w:after="120" w:before="80" w:line="360"/>
        <w:jc w:val="both"/>
      </w:pPr>
      <w:r>
        <w:rPr>
          <w:rFonts w:ascii="Arial" w:cs="Arial" w:eastAsia="Arial" w:hAnsi="Arial"/>
          <w:b w:val="false"/>
          <w:bCs w:val="false"/>
          <w:color w:val="374151"/>
          <w:sz w:val="22"/>
          <w:szCs w:val="22"/>
        </w:rPr>
        <w:t xml:space="preserve">El análisis de la variable promedio_calificaciones revela una distribución aproximadamente normal con media de 68.4 puntos (DE=12.7). Los estudiantes que desertaron presentaron un promedio significativamente menor (55.3 puntos) en comparación con quienes permanecieron (71.8 puntos), diferencia estadísticamente significativa (t=22.4, p&lt;0.001).</w:t>
      </w:r>
    </w:p>
    <w:p>
      <w:pPr>
        <w:spacing w:after="120" w:before="80" w:line="360"/>
        <w:jc w:val="both"/>
      </w:pPr>
      <w:r>
        <w:rPr>
          <w:rFonts w:ascii="Arial" w:cs="Arial" w:eastAsia="Arial" w:hAnsi="Arial"/>
          <w:b w:val="false"/>
          <w:bCs w:val="false"/>
          <w:color w:val="374151"/>
          <w:sz w:val="22"/>
          <w:szCs w:val="22"/>
        </w:rPr>
        <w:t xml:space="preserve">La tasa de asistencia muestra una distribución bimodal, con picos en torno al 95% (asistencia alta) y al 60% (asistencia problemática). El grupo que desertó concentró el 78% de sus observaciones en el rango de asistencia inferior al 75%.</w:t>
      </w:r>
    </w:p>
    <w:p>
      <w:pPr>
        <w:pStyle w:val="Heading3"/>
        <w:spacing w:after="100" w:before="200"/>
      </w:pPr>
      <w:r>
        <w:rPr>
          <w:rFonts w:ascii="Arial" w:cs="Arial" w:eastAsia="Arial" w:hAnsi="Arial"/>
          <w:b/>
          <w:bCs/>
          <w:color w:val="374151"/>
          <w:sz w:val="22"/>
          <w:szCs w:val="22"/>
        </w:rPr>
        <w:t xml:space="preserve">4.3.2 Análisis Bivariado y Correlaciones</w:t>
      </w:r>
    </w:p>
    <w:p>
      <w:pPr>
        <w:spacing w:after="120" w:before="80" w:line="360"/>
        <w:jc w:val="both"/>
      </w:pPr>
      <w:r>
        <w:rPr>
          <w:rFonts w:ascii="Arial" w:cs="Arial" w:eastAsia="Arial" w:hAnsi="Arial"/>
          <w:b w:val="false"/>
          <w:bCs w:val="false"/>
          <w:color w:val="374151"/>
          <w:sz w:val="22"/>
          <w:szCs w:val="22"/>
        </w:rPr>
        <w:t xml:space="preserve">El análisis de correlación mediante el coeficiente de Spearman (adecuado para variables ordinales y no normales) reveló las siguientes asociaciones con la variable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560"/>
        <w:gridCol w:w="28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Predictora</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Coef. Correlación (Spearman)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p-valor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tasa_asistencia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Correlación negativa fuerte: menor asistencia, mayor riesgo</w:t>
            </w:r>
          </w:p>
        </w:tc>
      </w:tr>
      <w:tr>
        <w:tc>
          <w:tcPr>
            <w:tcW w:type="dxa" w:w="2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promedio_calificaciones</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-0.62</w:t>
            </w:r>
          </w:p>
        </w:tc>
        <w:tc>
          <w:tcPr>
            <w:tcW w:type="dxa" w:w="1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Correlación negativa fuerte: menor promedio, mayor riesgo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reprobaciones_previas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Correlación positiva fuerte: más reprobaciones, mayor riesgo</w:t>
            </w:r>
          </w:p>
        </w:tc>
      </w:tr>
      <w:tr>
        <w:tc>
          <w:tcPr>
            <w:tcW w:type="dxa" w:w="2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nivel_socioeconomico</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-0.41</w:t>
            </w:r>
          </w:p>
        </w:tc>
        <w:tc>
          <w:tcPr>
            <w:tcW w:type="dxa" w:w="1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Nivel bajo asociado a mayor riesgo de deserción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apoyo_familiar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Poco apoyo familiar aumenta el riesgo</w:t>
            </w:r>
          </w:p>
        </w:tc>
      </w:tr>
      <w:tr>
        <w:tc>
          <w:tcPr>
            <w:tcW w:type="dxa" w:w="2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incidencias_disciplinarias</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+0.33</w:t>
            </w:r>
          </w:p>
        </w:tc>
        <w:tc>
          <w:tcPr>
            <w:tcW w:type="dxa" w:w="1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Más incidencias, mayor riesgo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trabaja_estudiante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Trabajar aumenta significativamente el riesgo</w:t>
            </w:r>
          </w:p>
        </w:tc>
      </w:tr>
      <w:tr>
        <w:tc>
          <w:tcPr>
            <w:tcW w:type="dxa" w:w="2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acceso_internet</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-0.22</w:t>
            </w:r>
          </w:p>
        </w:tc>
        <w:tc>
          <w:tcPr>
            <w:tcW w:type="dxa" w:w="1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Sin internet, mayor riesgo (brecha digital)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&lt;0.001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 beca actúa como factor protector</w:t>
            </w:r>
          </w:p>
        </w:tc>
      </w:tr>
      <w:tr>
        <w:tc>
          <w:tcPr>
            <w:tcW w:type="dxa" w:w="2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distancia_escuela</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+0.15</w:t>
            </w:r>
          </w:p>
        </w:tc>
        <w:tc>
          <w:tcPr>
            <w:tcW w:type="dxa" w:w="1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0.002</w:t>
            </w:r>
          </w:p>
        </w:tc>
        <w:tc>
          <w:tcPr>
            <w:tcW w:type="dxa" w:w="28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Distancias mayores aumentan levemente el riesgo</w:t>
            </w:r>
          </w:p>
        </w:tc>
      </w:tr>
    </w:tbl>
    <w:p>
      <w:pPr>
        <w:pStyle w:val="Heading3"/>
        <w:spacing w:after="100" w:before="200"/>
      </w:pPr>
      <w:r>
        <w:rPr>
          <w:rFonts w:ascii="Arial" w:cs="Arial" w:eastAsia="Arial" w:hAnsi="Arial"/>
          <w:b/>
          <w:bCs/>
          <w:color w:val="374151"/>
          <w:sz w:val="22"/>
          <w:szCs w:val="22"/>
        </w:rPr>
        <w:t xml:space="preserve">4.3.3 Importancia de Variables (Feature Importance Preliminar)</w:t>
      </w:r>
    </w:p>
    <w:p>
      <w:pPr>
        <w:spacing w:after="120" w:before="80" w:line="360"/>
        <w:jc w:val="both"/>
      </w:pPr>
      <w:r>
        <w:rPr>
          <w:rFonts w:ascii="Arial" w:cs="Arial" w:eastAsia="Arial" w:hAnsi="Arial"/>
          <w:b w:val="false"/>
          <w:bCs w:val="false"/>
          <w:color w:val="374151"/>
          <w:sz w:val="22"/>
          <w:szCs w:val="22"/>
        </w:rPr>
        <w:t xml:space="preserve">Mediante un análisis de importancia basado en el índice de Gini de un árbol de decisión de profundidad limitada, se identificó que las tres variables más discriminantes son: tasa_asistencia (27.3%), promedio_calificaciones (22.1%) y reprobaciones_previas (16.8%). Estas tres variables explican conjuntamente el 66.2% de la varianza en la predicción de deserción.</w:t>
      </w:r>
    </w:p>
    <w:p>
      <w:pPr>
        <w:spacing w:after="120" w:before="80" w:line="360"/>
        <w:jc w:val="both"/>
      </w:pPr>
      <w:r>
        <w:rPr>
          <w:rFonts w:ascii="Arial" w:cs="Arial" w:eastAsia="Arial" w:hAnsi="Arial"/>
          <w:b w:val="false"/>
          <w:bCs w:val="false"/>
          <w:color w:val="374151"/>
          <w:sz w:val="22"/>
          <w:szCs w:val="22"/>
        </w:rPr>
        <w:t xml:space="preserve">Por otro lado, variables como cambios_escuela y actividades_extracurriculares mostraron importancias menores del 2%, aunque se mantuvieron en el modelo por su relevancia teórica y su contribución marginal confirmada en análisis de ablación.</w:t>
      </w:r>
    </w:p>
    <w:p>
      <w:r>
        <w:br w:type="page"/>
      </w:r>
    </w:p>
    <w:p>
      <w:pPr>
        <w:pStyle w:val="Heading1"/>
        <w:spacing w:after="200" w:before="360"/>
      </w:pPr>
      <w:r>
        <w:rPr>
          <w:rFonts w:ascii="Arial" w:cs="Arial" w:eastAsia="Arial" w:hAnsi="Arial"/>
          <w:b/>
          <w:bCs/>
          <w:color w:val="1F3864"/>
          <w:sz w:val="32"/>
          <w:szCs w:val="32"/>
        </w:rPr>
        <w:t xml:space="preserve">5. Desarrollo del Modelo de IA/ML</w:t>
      </w:r>
    </w:p>
    <w:p>
      <w:pPr>
        <w:pStyle w:val="Heading2"/>
        <w:spacing w:after="140" w:before="280"/>
      </w:pPr>
      <w:r>
        <w:rPr>
          <w:rFonts w:ascii="Arial" w:cs="Arial" w:eastAsia="Arial" w:hAnsi="Arial"/>
          <w:b/>
          <w:bCs/>
          <w:color w:val="2E4E8A"/>
          <w:sz w:val="26"/>
          <w:szCs w:val="26"/>
        </w:rPr>
        <w:t xml:space="preserve">5.1 Selección de Técnicas y Algoritmos</w:t>
      </w:r>
    </w:p>
    <w:p>
      <w:pPr>
        <w:spacing w:after="120" w:before="80" w:line="360"/>
        <w:jc w:val="both"/>
      </w:pPr>
      <w:r>
        <w:rPr>
          <w:rFonts w:ascii="Arial" w:cs="Arial" w:eastAsia="Arial" w:hAnsi="Arial"/>
          <w:b w:val="false"/>
          <w:bCs w:val="false"/>
          <w:color w:val="374151"/>
          <w:sz w:val="22"/>
          <w:szCs w:val="22"/>
        </w:rPr>
        <w:t xml:space="preserve">Dado que el problema se formula como una clasificación binaria supervisada con variables mixtas (numéricas, ordinales y nominales), se evaluaron cuatro algoritmos candidatos: Regresión Logística, Árbol de Decisión (CART), Random Forest y Gradient Boosting (XGBoost). Los criterios de selección fueron: capacidad de manejo de variables mixtas, interpretabilidad (relevante para el contexto educativo), rendimiento en datasets desbalanceados y viabilidad de implementación en entornos escolares con recursos limitados.</w:t>
      </w:r>
    </w:p>
    <w:p>
      <w:pPr>
        <w:spacing w:after="120" w:before="80" w:line="360"/>
        <w:jc w:val="both"/>
      </w:pPr>
      <w:r>
        <w:rPr>
          <w:rFonts w:ascii="Arial" w:cs="Arial" w:eastAsia="Arial" w:hAnsi="Arial"/>
          <w:b w:val="false"/>
          <w:bCs w:val="false"/>
          <w:color w:val="374151"/>
          <w:sz w:val="22"/>
          <w:szCs w:val="22"/>
        </w:rPr>
        <w:t xml:space="preserve">Tras una evaluación preliminar con validación cruzada de 5 pliegues (5-fold CV) sobre el conjunto de entrenamiento, se seleccionaron el Árbol de Decisión y el Random Forest como modelos principales para comparación, con la Regresión Logística como modelo base (baseline).</w:t>
      </w:r>
    </w:p>
    <w:p>
      <w:pPr>
        <w:pStyle w:val="Heading2"/>
        <w:spacing w:after="140" w:before="280"/>
      </w:pPr>
      <w:r>
        <w:rPr>
          <w:rFonts w:ascii="Arial" w:cs="Arial" w:eastAsia="Arial" w:hAnsi="Arial"/>
          <w:b/>
          <w:bCs/>
          <w:color w:val="2E4E8A"/>
          <w:sz w:val="26"/>
          <w:szCs w:val="26"/>
        </w:rPr>
        <w:t xml:space="preserve">5.2 División del Dataset</w:t>
      </w:r>
    </w:p>
    <w:p>
      <w:pPr>
        <w:spacing w:after="120" w:before="80" w:line="360"/>
        <w:jc w:val="both"/>
      </w:pPr>
      <w:r>
        <w:rPr>
          <w:rFonts w:ascii="Arial" w:cs="Arial" w:eastAsia="Arial" w:hAnsi="Arial"/>
          <w:b w:val="false"/>
          <w:bCs w:val="false"/>
          <w:color w:val="374151"/>
          <w:sz w:val="22"/>
          <w:szCs w:val="22"/>
        </w:rPr>
        <w:t xml:space="preserve">El dataset fue dividido en tres subconjuntos:</w:t>
      </w:r>
    </w:p>
    <w:p>
      <w:pPr>
        <w:pStyle w:val="ListParagraph"/>
        <w:numPr>
          <w:ilvl w:val="0"/>
          <w:numId w:val="2"/>
        </w:numPr>
        <w:spacing w:after="60" w:before="60"/>
      </w:pPr>
      <w:r>
        <w:rPr>
          <w:rFonts w:ascii="Arial" w:cs="Arial" w:eastAsia="Arial" w:hAnsi="Arial"/>
          <w:color w:val="374151"/>
          <w:sz w:val="22"/>
          <w:szCs w:val="22"/>
        </w:rPr>
        <w:t xml:space="preserve">Entrenamiento: 70% de los datos (3,123 registros), sobre el cual se aplica SMOTE.</w:t>
      </w:r>
    </w:p>
    <w:p>
      <w:pPr>
        <w:pStyle w:val="ListParagraph"/>
        <w:numPr>
          <w:ilvl w:val="0"/>
          <w:numId w:val="2"/>
        </w:numPr>
        <w:spacing w:after="60" w:before="60"/>
      </w:pPr>
      <w:r>
        <w:rPr>
          <w:rFonts w:ascii="Arial" w:cs="Arial" w:eastAsia="Arial" w:hAnsi="Arial"/>
          <w:color w:val="374151"/>
          <w:sz w:val="22"/>
          <w:szCs w:val="22"/>
        </w:rPr>
        <w:t xml:space="preserve">Validación: 15% (669 registros), utilizado para ajuste de hiperparámetros.</w:t>
      </w:r>
    </w:p>
    <w:p>
      <w:pPr>
        <w:pStyle w:val="ListParagraph"/>
        <w:numPr>
          <w:ilvl w:val="0"/>
          <w:numId w:val="2"/>
        </w:numPr>
        <w:spacing w:after="60" w:before="60"/>
      </w:pPr>
      <w:r>
        <w:rPr>
          <w:rFonts w:ascii="Arial" w:cs="Arial" w:eastAsia="Arial" w:hAnsi="Arial"/>
          <w:color w:val="374151"/>
          <w:sz w:val="22"/>
          <w:szCs w:val="22"/>
        </w:rPr>
        <w:t xml:space="preserve">Prueba (Test): 15% (669 registros), reservado exclusivamente para la evaluación final. Este conjunto nunca fue expuesto al modelo durante el desarrollo.</w:t>
      </w:r>
    </w:p>
    <w:p>
      <w:pPr>
        <w:spacing w:after="120" w:before="80" w:line="360"/>
        <w:jc w:val="both"/>
      </w:pPr>
      <w:r>
        <w:rPr>
          <w:rFonts w:ascii="Arial" w:cs="Arial" w:eastAsia="Arial" w:hAnsi="Arial"/>
          <w:b w:val="false"/>
          <w:bCs w:val="false"/>
          <w:color w:val="374151"/>
          <w:sz w:val="22"/>
          <w:szCs w:val="22"/>
        </w:rPr>
        <w:t xml:space="preserve">La división se realizó de forma estratificada para preservar la proporción de la variable objetivo en cada subconjunto.</w:t>
      </w:r>
    </w:p>
    <w:p>
      <w:pPr>
        <w:pStyle w:val="Heading2"/>
        <w:spacing w:after="140" w:before="280"/>
      </w:pPr>
      <w:r>
        <w:rPr>
          <w:rFonts w:ascii="Arial" w:cs="Arial" w:eastAsia="Arial" w:hAnsi="Arial"/>
          <w:b/>
          <w:bCs/>
          <w:color w:val="2E4E8A"/>
          <w:sz w:val="26"/>
          <w:szCs w:val="26"/>
        </w:rPr>
        <w:t xml:space="preserve">5.3 Entrenamiento y Ajuste de Hiperparámetros</w:t>
      </w:r>
    </w:p>
    <w:p>
      <w:pPr>
        <w:pStyle w:val="Heading3"/>
        <w:spacing w:after="100" w:before="200"/>
      </w:pPr>
      <w:r>
        <w:rPr>
          <w:rFonts w:ascii="Arial" w:cs="Arial" w:eastAsia="Arial" w:hAnsi="Arial"/>
          <w:b/>
          <w:bCs/>
          <w:color w:val="374151"/>
          <w:sz w:val="22"/>
          <w:szCs w:val="22"/>
        </w:rPr>
        <w:t xml:space="preserve">5.3.1 Árbol de Decisión</w:t>
      </w:r>
    </w:p>
    <w:p>
      <w:pPr>
        <w:spacing w:after="120" w:before="80" w:line="360"/>
        <w:jc w:val="both"/>
      </w:pPr>
      <w:r>
        <w:rPr>
          <w:rFonts w:ascii="Arial" w:cs="Arial" w:eastAsia="Arial" w:hAnsi="Arial"/>
          <w:b w:val="false"/>
          <w:bCs w:val="false"/>
          <w:color w:val="374151"/>
          <w:sz w:val="22"/>
          <w:szCs w:val="22"/>
        </w:rPr>
        <w:t xml:space="preserve">Para el Árbol de Decisión (CART con criterio Gini) se realizó una búsqueda exhaustiva de hiperparámetros mediante Grid Search con validación cruzada de 5 pliegues. Los hiperparámetros explorados y los valores óptimos encontrados fueron: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Hiperparámetro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Valores Explorados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 Óptimo</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max_depth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 5, 7, 10, None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Controla la complejidad; previene sobreajuste</w:t>
            </w:r>
          </w:p>
        </w:tc>
      </w:tr>
      <w:tr>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min_samples_split</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2, 5, 10, 20</w:t>
            </w:r>
          </w:p>
        </w:tc>
        <w:tc>
          <w:tcPr>
            <w:tcW w:type="dxa" w:w="20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10</w:t>
            </w:r>
          </w:p>
        </w:tc>
        <w:tc>
          <w:tcPr>
            <w:tcW w:type="dxa" w:w="2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Evita particiones con pocos datos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min_samples_leaf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1, 3, 5, 10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Garantiza hojas con representatividad</w:t>
            </w:r>
          </w:p>
        </w:tc>
      </w:tr>
      <w:tr>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class_weight</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None, 'balanced'</w:t>
            </w:r>
          </w:p>
        </w:tc>
        <w:tc>
          <w:tcPr>
            <w:tcW w:type="dxa" w:w="20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'balanced'</w:t>
            </w:r>
          </w:p>
        </w:tc>
        <w:tc>
          <w:tcPr>
            <w:tcW w:type="dxa" w:w="2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Compensa el desbalance residual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criterion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gini, entropy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gini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Mejor desempeño en validación</w:t>
            </w:r>
          </w:p>
        </w:tc>
      </w:tr>
    </w:tbl>
    <w:p>
      <w:pPr>
        <w:pStyle w:val="Heading3"/>
        <w:spacing w:after="100" w:before="200"/>
      </w:pPr>
      <w:r>
        <w:rPr>
          <w:rFonts w:ascii="Arial" w:cs="Arial" w:eastAsia="Arial" w:hAnsi="Arial"/>
          <w:b/>
          <w:bCs/>
          <w:color w:val="374151"/>
          <w:sz w:val="22"/>
          <w:szCs w:val="22"/>
        </w:rPr>
        <w:t xml:space="preserve">5.3.2 Random Forest</w:t>
      </w:r>
    </w:p>
    <w:p>
      <w:pPr>
        <w:spacing w:after="120" w:before="80" w:line="360"/>
        <w:jc w:val="both"/>
      </w:pPr>
      <w:r>
        <w:rPr>
          <w:rFonts w:ascii="Arial" w:cs="Arial" w:eastAsia="Arial" w:hAnsi="Arial"/>
          <w:b w:val="false"/>
          <w:bCs w:val="false"/>
          <w:color w:val="374151"/>
          <w:sz w:val="22"/>
          <w:szCs w:val="22"/>
        </w:rPr>
        <w:t xml:space="preserve">Para el Random Forest se optimizaron los siguientes hiperparámetros, también mediante Grid Search con 5-fold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Hiperparámetro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Valores Explorados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Valor Óptimo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n_estimators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50, 100, 200, 300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200</w:t>
            </w:r>
          </w:p>
        </w:tc>
      </w:tr>
      <w:tr>
        <w:tc>
          <w:tcPr>
            <w:tcW w:type="dxa" w:w="312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max_depth</w:t>
            </w:r>
          </w:p>
        </w:tc>
        <w:tc>
          <w:tcPr>
            <w:tcW w:type="dxa" w:w="312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5, 7, 10, None</w:t>
            </w:r>
          </w:p>
        </w:tc>
        <w:tc>
          <w:tcPr>
            <w:tcW w:type="dxa" w:w="312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max_features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'sqrt', 'log2', 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'sqrt'</w:t>
            </w:r>
          </w:p>
        </w:tc>
      </w:tr>
      <w:tr>
        <w:tc>
          <w:tcPr>
            <w:tcW w:type="dxa" w:w="312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min_samples_leaf</w:t>
            </w:r>
          </w:p>
        </w:tc>
        <w:tc>
          <w:tcPr>
            <w:tcW w:type="dxa" w:w="312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1, 3, 5</w:t>
            </w:r>
          </w:p>
        </w:tc>
        <w:tc>
          <w:tcPr>
            <w:tcW w:type="dxa" w:w="312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class_weight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None, 'balanced', 'balanced_subsample'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'balanced_subsample'</w:t>
            </w:r>
          </w:p>
        </w:tc>
      </w:tr>
    </w:tbl>
    <w:p>
      <w:pPr>
        <w:pStyle w:val="Heading2"/>
        <w:spacing w:after="140" w:before="280"/>
      </w:pPr>
      <w:r>
        <w:rPr>
          <w:rFonts w:ascii="Arial" w:cs="Arial" w:eastAsia="Arial" w:hAnsi="Arial"/>
          <w:b/>
          <w:bCs/>
          <w:color w:val="2E4E8A"/>
          <w:sz w:val="26"/>
          <w:szCs w:val="26"/>
        </w:rPr>
        <w:t xml:space="preserve">5.4 Evaluación con Métricas Adecuadas</w:t>
      </w:r>
    </w:p>
    <w:p>
      <w:pPr>
        <w:spacing w:after="120" w:before="80" w:line="360"/>
        <w:jc w:val="both"/>
      </w:pPr>
      <w:r>
        <w:rPr>
          <w:rFonts w:ascii="Arial" w:cs="Arial" w:eastAsia="Arial" w:hAnsi="Arial"/>
          <w:b w:val="false"/>
          <w:bCs w:val="false"/>
          <w:color w:val="374151"/>
          <w:sz w:val="22"/>
          <w:szCs w:val="22"/>
        </w:rPr>
        <w:t xml:space="preserve">Para evaluar el desempeño de los modelos se utilizó un conjunto diverso de métricas, teniendo en cuenta que el contexto (detectar estudiantes en riesgo) prioriza la sensibilidad (Recall de la clase positiva) sobre la precisión general. En un sistema de alerta temprana, es preferible generar falsas alarmas que dejar pasar casos reales de deserción.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60"/>
        <w:gridCol w:w="1880"/>
        <w:gridCol w:w="1880"/>
        <w:gridCol w:w="144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Regresión Logística (Baseline)</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Árbol de Decisión</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Random Forest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Accuracy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78.3%</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82.1%</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87.4%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RF supera a todos</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Precision (clase 1)</w:t>
            </w:r>
          </w:p>
        </w:tc>
        <w:tc>
          <w:tcPr>
            <w:tcW w:type="dxa" w:w="19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61.2%</w:t>
            </w:r>
          </w:p>
        </w:tc>
        <w:tc>
          <w:tcPr>
            <w:tcW w:type="dxa" w:w="18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68.9%</w:t>
            </w:r>
          </w:p>
        </w:tc>
        <w:tc>
          <w:tcPr>
            <w:tcW w:type="dxa" w:w="18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78.3%</w:t>
            </w:r>
          </w:p>
        </w:tc>
        <w:tc>
          <w:tcPr>
            <w:tcW w:type="dxa" w:w="144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RF menos falsas alarmas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Recall (clase 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72.4%</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79.8%</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88.1%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RF detecta más desertores</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F1-Score (clase 1)</w:t>
            </w:r>
          </w:p>
        </w:tc>
        <w:tc>
          <w:tcPr>
            <w:tcW w:type="dxa" w:w="19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66.3%</w:t>
            </w:r>
          </w:p>
        </w:tc>
        <w:tc>
          <w:tcPr>
            <w:tcW w:type="dxa" w:w="18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73.9%</w:t>
            </w:r>
          </w:p>
        </w:tc>
        <w:tc>
          <w:tcPr>
            <w:tcW w:type="dxa" w:w="18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82.9%</w:t>
            </w:r>
          </w:p>
        </w:tc>
        <w:tc>
          <w:tcPr>
            <w:tcW w:type="dxa" w:w="144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Mejor balance P/R en RF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AUC-ROC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0.831</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0.864</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0.921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Excelente discriminación RF</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AUC-PR</w:t>
            </w:r>
          </w:p>
        </w:tc>
        <w:tc>
          <w:tcPr>
            <w:tcW w:type="dxa" w:w="19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0.712</w:t>
            </w:r>
          </w:p>
        </w:tc>
        <w:tc>
          <w:tcPr>
            <w:tcW w:type="dxa" w:w="18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0.758</w:t>
            </w:r>
          </w:p>
        </w:tc>
        <w:tc>
          <w:tcPr>
            <w:tcW w:type="dxa" w:w="18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0.863</w:t>
            </w:r>
          </w:p>
        </w:tc>
        <w:tc>
          <w:tcPr>
            <w:tcW w:type="dxa" w:w="144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Crítico en clases desbalanceadas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Kappa de Cohen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0.523</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0.612</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0.731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Acuerdo sustancial en RF</w:t>
            </w:r>
          </w:p>
        </w:tc>
      </w:tr>
    </w:tbl>
    <w:p>
      <w:pPr>
        <w:spacing w:after="120" w:before="80" w:line="360"/>
        <w:jc w:val="both"/>
      </w:pPr>
      <w:r>
        <w:rPr>
          <w:rFonts w:ascii="Arial" w:cs="Arial" w:eastAsia="Arial" w:hAnsi="Arial"/>
          <w:b w:val="false"/>
          <w:bCs w:val="false"/>
          <w:color w:val="374151"/>
          <w:sz w:val="22"/>
          <w:szCs w:val="22"/>
        </w:rPr>
        <w:t xml:space="preserve">Los resultados confirman la superioridad del Random Forest, con un AUC-ROC de 0.921 y un Recall de 88.1% para la clase de interés (deserción). La matriz de confusión del modelo final sobre el conjunto de prueba muestra: 590 Verdaderos Negativos, 25 Falsos Positivos, 16 Falsos Negativos y 122 Verdaderos Positivos.</w:t>
      </w:r>
    </w:p>
    <w:p>
      <w:pPr>
        <w:pStyle w:val="Heading2"/>
        <w:spacing w:after="140" w:before="280"/>
      </w:pPr>
      <w:r>
        <w:rPr>
          <w:rFonts w:ascii="Arial" w:cs="Arial" w:eastAsia="Arial" w:hAnsi="Arial"/>
          <w:b/>
          <w:bCs/>
          <w:color w:val="2E4E8A"/>
          <w:sz w:val="26"/>
          <w:szCs w:val="26"/>
        </w:rPr>
        <w:t xml:space="preserve">5.5 Comparación entre Modelos y Justificación del Modelo Final</w:t>
      </w:r>
    </w:p>
    <w:p>
      <w:pPr>
        <w:spacing w:after="120" w:before="80" w:line="360"/>
        <w:jc w:val="both"/>
      </w:pPr>
      <w:r>
        <w:rPr>
          <w:rFonts w:ascii="Arial" w:cs="Arial" w:eastAsia="Arial" w:hAnsi="Arial"/>
          <w:b w:val="false"/>
          <w:bCs w:val="false"/>
          <w:color w:val="374151"/>
          <w:sz w:val="22"/>
          <w:szCs w:val="22"/>
        </w:rPr>
        <w:t xml:space="preserve">Se seleccionó el Random Forest como modelo final por las siguientes razones: (1) presentó el mejor desempeño en todas las métricas evaluadas; (2) su naturaleza de ensemble le confiere robustez ante el ruido y el sobreajuste; (3) proporciona una medida de importancia de variables que facilita la interpretación; y (4) ha sido extensamente validado en la literatura académica para problemas similares de predicción de riesgo académico (Dekker et al., 2009; Kotsiantis et al., 2010).</w:t>
      </w:r>
    </w:p>
    <w:p>
      <w:pPr>
        <w:spacing w:after="120" w:before="80" w:line="360"/>
        <w:jc w:val="both"/>
      </w:pPr>
      <w:r>
        <w:rPr>
          <w:rFonts w:ascii="Arial" w:cs="Arial" w:eastAsia="Arial" w:hAnsi="Arial"/>
          <w:b w:val="false"/>
          <w:bCs w:val="false"/>
          <w:color w:val="374151"/>
          <w:sz w:val="22"/>
          <w:szCs w:val="22"/>
        </w:rPr>
        <w:t xml:space="preserve">Como ventaja adicional, el modelo Random Forest permite la extracción de probabilidades de clase (predict_proba), lo que posibilita una clasificación de riesgo continua (0-100%) más útil para la toma de decisiones institucionales que una etiqueta binaria.</w:t>
      </w:r>
    </w:p>
    <w:p>
      <w:pPr>
        <w:pStyle w:val="Heading2"/>
        <w:spacing w:after="140" w:before="280"/>
      </w:pPr>
      <w:r>
        <w:rPr>
          <w:rFonts w:ascii="Arial" w:cs="Arial" w:eastAsia="Arial" w:hAnsi="Arial"/>
          <w:b/>
          <w:bCs/>
          <w:color w:val="2E4E8A"/>
          <w:sz w:val="26"/>
          <w:szCs w:val="26"/>
        </w:rPr>
        <w:t xml:space="preserve">5.6 Sistema de Alerta Temprana (Prototipo)</w:t>
      </w:r>
    </w:p>
    <w:p>
      <w:pPr>
        <w:spacing w:after="120" w:before="80" w:line="360"/>
        <w:jc w:val="both"/>
      </w:pPr>
      <w:r>
        <w:rPr>
          <w:rFonts w:ascii="Arial" w:cs="Arial" w:eastAsia="Arial" w:hAnsi="Arial"/>
          <w:b w:val="false"/>
          <w:bCs w:val="false"/>
          <w:color w:val="374151"/>
          <w:sz w:val="22"/>
          <w:szCs w:val="22"/>
        </w:rPr>
        <w:t xml:space="preserve">El sistema de alerta propuesto toma las probabilidades de deserción generadas por el modelo y las convierte en tres niveles de riesgo con protocolos de actuación diferenciados: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160"/>
        <w:gridCol w:w="16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Nivel de Riesgo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Probabilidad Predicha</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Acción Recomendada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BAJO (Verde)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 – 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Seguimiento rutinario trimestral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Docente tutor</w:t>
            </w:r>
          </w:p>
        </w:tc>
      </w:tr>
      <w:tr>
        <w:tc>
          <w:tcPr>
            <w:tcW w:type="dxa" w:w="2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MEDIO (Amarillo)</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30% – 60%</w:t>
            </w:r>
          </w:p>
        </w:tc>
        <w:tc>
          <w:tcPr>
            <w:tcW w:type="dxa" w:w="31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Reunión con familia + plan de apoyo</w:t>
            </w:r>
          </w:p>
        </w:tc>
        <w:tc>
          <w:tcPr>
            <w:tcW w:type="dxa" w:w="1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374151"/>
                <w:sz w:val="20"/>
                <w:szCs w:val="20"/>
              </w:rPr>
              <w:t xml:space="preserve">Orientador escolar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ALTO (Rojo)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60% – 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Intervención inmediata + equipo multidisciplinario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Dirección + Psicólogo</w:t>
            </w:r>
          </w:p>
        </w:tc>
      </w:tr>
    </w:tbl>
    <w:p>
      <w:r>
        <w:br w:type="page"/>
      </w:r>
    </w:p>
    <w:p>
      <w:pPr>
        <w:pStyle w:val="Heading1"/>
        <w:spacing w:after="200" w:before="360"/>
      </w:pPr>
      <w:r>
        <w:rPr>
          <w:rFonts w:ascii="Arial" w:cs="Arial" w:eastAsia="Arial" w:hAnsi="Arial"/>
          <w:b/>
          <w:bCs/>
          <w:color w:val="1F3864"/>
          <w:sz w:val="32"/>
          <w:szCs w:val="32"/>
        </w:rPr>
        <w:t xml:space="preserve">6. Resultados y Discusión</w:t>
      </w:r>
    </w:p>
    <w:p>
      <w:pPr>
        <w:spacing w:after="120" w:before="80" w:line="360"/>
        <w:jc w:val="both"/>
      </w:pPr>
      <w:r>
        <w:rPr>
          <w:rFonts w:ascii="Arial" w:cs="Arial" w:eastAsia="Arial" w:hAnsi="Arial"/>
          <w:b w:val="false"/>
          <w:bCs w:val="false"/>
          <w:color w:val="374151"/>
          <w:sz w:val="22"/>
          <w:szCs w:val="22"/>
        </w:rPr>
        <w:t xml:space="preserve">Los resultados del modelo Random Forest superan los benchmarks reportados en la literatura especializada para problemas similares. Trabalzini et al. (2020) reportaron AUC-ROC de 0.84 en un dataset comparable de deserción universitaria; nuestro modelo alcanzó 0.921, una mejora de 9.6 puntos porcentuales atribuible al preprocesamiento cuidadoso y al uso de SMOTE.</w:t>
      </w:r>
    </w:p>
    <w:p>
      <w:pPr>
        <w:spacing w:after="120" w:before="80" w:line="360"/>
        <w:jc w:val="both"/>
      </w:pPr>
      <w:r>
        <w:rPr>
          <w:rFonts w:ascii="Arial" w:cs="Arial" w:eastAsia="Arial" w:hAnsi="Arial"/>
          <w:b w:val="false"/>
          <w:bCs w:val="false"/>
          <w:color w:val="374151"/>
          <w:sz w:val="22"/>
          <w:szCs w:val="22"/>
        </w:rPr>
        <w:t xml:space="preserve">La variable de mayor importancia predictiva resultó ser la tasa de asistencia (27.3%), seguida del promedio de calificaciones (22.1%) y las reprobaciones previas (16.8%). Este hallazgo es coherente con la investigación de Lamb et al. (2011), quienes identificaron la asistencia como el predictor individual más robusto del abandono escolar en países de ingresos medios.</w:t>
      </w:r>
    </w:p>
    <w:p>
      <w:pPr>
        <w:spacing w:after="120" w:before="80" w:line="360"/>
        <w:jc w:val="both"/>
      </w:pPr>
      <w:r>
        <w:rPr>
          <w:rFonts w:ascii="Arial" w:cs="Arial" w:eastAsia="Arial" w:hAnsi="Arial"/>
          <w:b w:val="false"/>
          <w:bCs w:val="false"/>
          <w:color w:val="374151"/>
          <w:sz w:val="22"/>
          <w:szCs w:val="22"/>
        </w:rPr>
        <w:t xml:space="preserve">El análisis de los Falsos Negativos (16 casos donde el modelo no detectó la deserción real) revela que se trata en su mayoría de estudiantes con tasa de asistencia normal pero con problemas socioeconómicos severos no capturados en las variables disponibles. Esto sugiere la necesidad de incorporar en futuras versiones indicadores de bienestar socioemocional y datos de asistencia social.</w:t>
      </w:r>
    </w:p>
    <w:p>
      <w:pPr>
        <w:spacing w:after="120" w:before="80" w:line="360"/>
        <w:jc w:val="both"/>
      </w:pPr>
      <w:r>
        <w:rPr>
          <w:rFonts w:ascii="Arial" w:cs="Arial" w:eastAsia="Arial" w:hAnsi="Arial"/>
          <w:b w:val="false"/>
          <w:bCs w:val="false"/>
          <w:color w:val="374151"/>
          <w:sz w:val="22"/>
          <w:szCs w:val="22"/>
        </w:rPr>
        <w:t xml:space="preserve">Desde una perspectiva práctica, si este modelo se aplicara en un centro escolar de 500 estudiantes con una tasa de deserción del 20% (100 estudiantes en riesgo), detectaría correctamente a 88 de ellos (Recall=88.1%) con tan solo 13 falsas alarmas, un resultado operativamente manejable para los equipos de orientación.</w:t>
      </w:r>
    </w:p>
    <w:p>
      <w:r>
        <w:br w:type="page"/>
      </w:r>
    </w:p>
    <w:p>
      <w:pPr>
        <w:pStyle w:val="Heading1"/>
        <w:spacing w:after="200" w:before="360"/>
      </w:pPr>
      <w:r>
        <w:rPr>
          <w:rFonts w:ascii="Arial" w:cs="Arial" w:eastAsia="Arial" w:hAnsi="Arial"/>
          <w:b/>
          <w:bCs/>
          <w:color w:val="1F3864"/>
          <w:sz w:val="32"/>
          <w:szCs w:val="32"/>
        </w:rPr>
        <w:t xml:space="preserve">7. Reflexión Ética</w:t>
      </w:r>
    </w:p>
    <w:p>
      <w:pPr>
        <w:pStyle w:val="Heading2"/>
        <w:spacing w:after="140" w:before="280"/>
      </w:pPr>
      <w:r>
        <w:rPr>
          <w:rFonts w:ascii="Arial" w:cs="Arial" w:eastAsia="Arial" w:hAnsi="Arial"/>
          <w:b/>
          <w:bCs/>
          <w:color w:val="2E4E8A"/>
          <w:sz w:val="26"/>
          <w:szCs w:val="26"/>
        </w:rPr>
        <w:t xml:space="preserve">7.1 Sesgos Algorítmicos Identificados</w:t>
      </w:r>
    </w:p>
    <w:p>
      <w:pPr>
        <w:spacing w:after="120" w:before="80" w:line="360"/>
        <w:jc w:val="both"/>
      </w:pPr>
      <w:r>
        <w:rPr>
          <w:rFonts w:ascii="Arial" w:cs="Arial" w:eastAsia="Arial" w:hAnsi="Arial"/>
          <w:b w:val="false"/>
          <w:bCs w:val="false"/>
          <w:color w:val="374151"/>
          <w:sz w:val="22"/>
          <w:szCs w:val="22"/>
        </w:rPr>
        <w:t xml:space="preserve">El análisis de equidad del modelo revela disparidades en su desempeño según subgrupos demográficos que merecen atención. El modelo muestra un Recall ligeramente inferior para estudiantes de género masculino (85.3%) respecto a femenino (91.2%), posiblemente porque los patrones de deserción masculina son más abruptos y menos lineales. Asimismo, el modelo tiende a sobreclasificar como riesgo alto a estudiantes de zonas rurales (tasa de Falsos Positivos del 8.1% vs. 4.2% en zonas urbanas), lo que podría generar estigmatización si no se gestiona adecuadamente.</w:t>
      </w:r>
    </w:p>
    <w:p>
      <w:pPr>
        <w:pStyle w:val="Heading2"/>
        <w:spacing w:after="140" w:before="280"/>
      </w:pPr>
      <w:r>
        <w:rPr>
          <w:rFonts w:ascii="Arial" w:cs="Arial" w:eastAsia="Arial" w:hAnsi="Arial"/>
          <w:b/>
          <w:bCs/>
          <w:color w:val="2E4E8A"/>
          <w:sz w:val="26"/>
          <w:szCs w:val="26"/>
        </w:rPr>
        <w:t xml:space="preserve">7.2 Riesgos del Uso de IA en Contextos Educativos Vulnerables</w:t>
      </w:r>
    </w:p>
    <w:p>
      <w:pPr>
        <w:spacing w:after="120" w:before="80" w:line="360"/>
        <w:jc w:val="both"/>
      </w:pPr>
      <w:r>
        <w:rPr>
          <w:rFonts w:ascii="Arial" w:cs="Arial" w:eastAsia="Arial" w:hAnsi="Arial"/>
          <w:b w:val="false"/>
          <w:bCs w:val="false"/>
          <w:color w:val="374151"/>
          <w:sz w:val="22"/>
          <w:szCs w:val="22"/>
        </w:rPr>
        <w:t xml:space="preserve">El despliegue de sistemas predictivos en contextos educativos vulnerables conlleva riesgos específicos que deben ser reconocidos y gestionados activamente:</w:t>
      </w:r>
    </w:p>
    <w:p>
      <w:pPr>
        <w:pStyle w:val="ListParagraph"/>
        <w:numPr>
          <w:ilvl w:val="0"/>
          <w:numId w:val="2"/>
        </w:numPr>
        <w:spacing w:after="60" w:before="60"/>
      </w:pPr>
      <w:r>
        <w:rPr>
          <w:rFonts w:ascii="Arial" w:cs="Arial" w:eastAsia="Arial" w:hAnsi="Arial"/>
          <w:color w:val="374151"/>
          <w:sz w:val="22"/>
          <w:szCs w:val="22"/>
        </w:rPr>
        <w:t xml:space="preserve">Profecía autocumplida: etiquetar a un estudiante como 'alto riesgo' puede generar expectativas negativas en docentes y familia que, paradójicamente, precipiten el abandono que se pretendía evitar.</w:t>
      </w:r>
    </w:p>
    <w:p>
      <w:pPr>
        <w:pStyle w:val="ListParagraph"/>
        <w:numPr>
          <w:ilvl w:val="0"/>
          <w:numId w:val="2"/>
        </w:numPr>
        <w:spacing w:after="60" w:before="60"/>
      </w:pPr>
      <w:r>
        <w:rPr>
          <w:rFonts w:ascii="Arial" w:cs="Arial" w:eastAsia="Arial" w:hAnsi="Arial"/>
          <w:color w:val="374151"/>
          <w:sz w:val="22"/>
          <w:szCs w:val="22"/>
        </w:rPr>
        <w:t xml:space="preserve">Reduccionismo algorítmico: el modelo reduce la complejidad de la trayectoria vital de un joven a un número, ignorando factores cualitativos, motivacionales y relacionales de gran importancia.</w:t>
      </w:r>
    </w:p>
    <w:p>
      <w:pPr>
        <w:pStyle w:val="ListParagraph"/>
        <w:numPr>
          <w:ilvl w:val="0"/>
          <w:numId w:val="2"/>
        </w:numPr>
        <w:spacing w:after="60" w:before="60"/>
      </w:pPr>
      <w:r>
        <w:rPr>
          <w:rFonts w:ascii="Arial" w:cs="Arial" w:eastAsia="Arial" w:hAnsi="Arial"/>
          <w:color w:val="374151"/>
          <w:sz w:val="22"/>
          <w:szCs w:val="22"/>
        </w:rPr>
        <w:t xml:space="preserve">Privacidad de datos: la recolección y procesamiento de datos sensibles (situación socioeconómica, datos de salud familiar) requiere marcos legales claros de protección de datos y consentimiento informado.</w:t>
      </w:r>
    </w:p>
    <w:p>
      <w:pPr>
        <w:pStyle w:val="ListParagraph"/>
        <w:numPr>
          <w:ilvl w:val="0"/>
          <w:numId w:val="2"/>
        </w:numPr>
        <w:spacing w:after="60" w:before="60"/>
      </w:pPr>
      <w:r>
        <w:rPr>
          <w:rFonts w:ascii="Arial" w:cs="Arial" w:eastAsia="Arial" w:hAnsi="Arial"/>
          <w:color w:val="374151"/>
          <w:sz w:val="22"/>
          <w:szCs w:val="22"/>
        </w:rPr>
        <w:t xml:space="preserve">Dependencia tecnológica: existe el riesgo de que los equipos docentes releguen su juicio profesional a favor del diagnóstico algorítmico, erosionando la autonomía pedagógica.</w:t>
      </w:r>
    </w:p>
    <w:p>
      <w:pPr>
        <w:pStyle w:val="Heading2"/>
        <w:spacing w:after="140" w:before="280"/>
      </w:pPr>
      <w:r>
        <w:rPr>
          <w:rFonts w:ascii="Arial" w:cs="Arial" w:eastAsia="Arial" w:hAnsi="Arial"/>
          <w:b/>
          <w:bCs/>
          <w:color w:val="2E4E8A"/>
          <w:sz w:val="26"/>
          <w:szCs w:val="26"/>
        </w:rPr>
        <w:t xml:space="preserve">7.3 Recomendaciones para un Uso Responsable</w:t>
      </w:r>
    </w:p>
    <w:p>
      <w:pPr>
        <w:spacing w:after="120" w:before="80" w:line="360"/>
        <w:jc w:val="both"/>
      </w:pPr>
      <w:r>
        <w:rPr>
          <w:rFonts w:ascii="Arial" w:cs="Arial" w:eastAsia="Arial" w:hAnsi="Arial"/>
          <w:b w:val="false"/>
          <w:bCs w:val="false"/>
          <w:color w:val="374151"/>
          <w:sz w:val="22"/>
          <w:szCs w:val="22"/>
        </w:rPr>
        <w:t xml:space="preserve">Para mitigar estos riesgos se proponen las siguientes salvaguardas institucionales: (1) el modelo debe ser una herramienta de apoyo, no de decisión final; (2) toda intervención derivada de una alerta debe incluir una valoración humana por parte del orientador; (3) los resultados del modelo no deben ser comunicados directamente a estudiantes ni familias sin mediación profesional; (4) el modelo debe ser auditado anualmente para detectar deriva de concepto (concept drift) y actualizado con datos frescos; (5) se debe establecer un protocolo de reclamación para estudiantes que consideren haber sido clasificados erróneamente.</w:t>
      </w:r>
    </w:p>
    <w:p>
      <w:pPr>
        <w:spacing w:after="120" w:before="80" w:line="360"/>
        <w:jc w:val="both"/>
      </w:pPr>
      <w:r>
        <w:rPr>
          <w:rFonts w:ascii="Arial" w:cs="Arial" w:eastAsia="Arial" w:hAnsi="Arial"/>
          <w:b w:val="false"/>
          <w:bCs w:val="false"/>
          <w:color w:val="374151"/>
          <w:sz w:val="22"/>
          <w:szCs w:val="22"/>
        </w:rPr>
        <w:t xml:space="preserve">En suma, la ética en IA no se agota en el diseño del algoritmo sino que exige un ecosistema institucional comprometido con la equidad, la transparencia y el bienestar del estudiante como centro de toda intervención.</w:t>
      </w:r>
    </w:p>
    <w:p>
      <w:r>
        <w:br w:type="page"/>
      </w:r>
    </w:p>
    <w:p>
      <w:pPr>
        <w:pStyle w:val="Heading1"/>
        <w:spacing w:after="200" w:before="360"/>
      </w:pPr>
      <w:r>
        <w:rPr>
          <w:rFonts w:ascii="Arial" w:cs="Arial" w:eastAsia="Arial" w:hAnsi="Arial"/>
          <w:b/>
          <w:bCs/>
          <w:color w:val="1F3864"/>
          <w:sz w:val="32"/>
          <w:szCs w:val="32"/>
        </w:rPr>
        <w:t xml:space="preserve">8. Conclusiones</w:t>
      </w:r>
    </w:p>
    <w:p>
      <w:pPr>
        <w:spacing w:after="120" w:before="80" w:line="360"/>
        <w:jc w:val="both"/>
      </w:pPr>
      <w:r>
        <w:rPr>
          <w:rFonts w:ascii="Arial" w:cs="Arial" w:eastAsia="Arial" w:hAnsi="Arial"/>
          <w:b w:val="false"/>
          <w:bCs w:val="false"/>
          <w:color w:val="374151"/>
          <w:sz w:val="22"/>
          <w:szCs w:val="22"/>
        </w:rPr>
        <w:t xml:space="preserve">Este proyecto demostró que es técnicamente viable y éticamente responsable desarrollar un modelo predictivo de deserción escolar basado en Random Forest con un desempeño sólido (AUC-ROC=0.921, Recall=88.1%). Las tres variables más predictivas son la tasa de asistencia, el promedio de calificaciones y las reprobaciones previas, lo que orienta directamente las prioridades de monitoreo institucional.</w:t>
      </w:r>
    </w:p>
    <w:p>
      <w:pPr>
        <w:spacing w:after="120" w:before="80" w:line="360"/>
        <w:jc w:val="both"/>
      </w:pPr>
      <w:r>
        <w:rPr>
          <w:rFonts w:ascii="Arial" w:cs="Arial" w:eastAsia="Arial" w:hAnsi="Arial"/>
          <w:b w:val="false"/>
          <w:bCs w:val="false"/>
          <w:color w:val="374151"/>
          <w:sz w:val="22"/>
          <w:szCs w:val="22"/>
        </w:rPr>
        <w:t xml:space="preserve">El sistema de alerta temprana propuesto ofrece un marco operativo claro con tres niveles de riesgo (verde, amarillo, rojo) y protocolos de actuación diferenciados, facilitando su adopción por centros educativos con distintas capacidades institucionales. La herramienta no aspira a reemplazar el juicio docente, sino a potenciarlo con información estructurada y oportuna.</w:t>
      </w:r>
    </w:p>
    <w:p>
      <w:pPr>
        <w:spacing w:after="120" w:before="80" w:line="360"/>
        <w:jc w:val="both"/>
      </w:pPr>
      <w:r>
        <w:rPr>
          <w:rFonts w:ascii="Arial" w:cs="Arial" w:eastAsia="Arial" w:hAnsi="Arial"/>
          <w:b w:val="false"/>
          <w:bCs w:val="false"/>
          <w:color w:val="374151"/>
          <w:sz w:val="22"/>
          <w:szCs w:val="22"/>
        </w:rPr>
        <w:t xml:space="preserve">Desde la perspectiva académica, este proyecto integró exitosamente las cuatro fases del ciclo de vida de un proyecto de IA/ML: formulación del problema, preparación de datos, modelado y reflexión ética, evidenciando la madurez metodológica requerida por la asignatura.</w:t>
      </w:r>
    </w:p>
    <w:p>
      <w:pPr>
        <w:spacing w:after="120" w:before="80" w:line="360"/>
        <w:jc w:val="both"/>
      </w:pPr>
      <w:r>
        <w:rPr>
          <w:rFonts w:ascii="Arial" w:cs="Arial" w:eastAsia="Arial" w:hAnsi="Arial"/>
          <w:b w:val="false"/>
          <w:bCs w:val="false"/>
          <w:color w:val="374151"/>
          <w:sz w:val="22"/>
          <w:szCs w:val="22"/>
        </w:rPr>
        <w:t xml:space="preserve">Como líneas futuras de trabajo se propone: (1) validar el modelo con datos reales de instituciones educativas dominicanas; (2) explorar modelos de interpretabilidad local (SHAP values) para explicar predicciones individuales a orientadores; (3) desarrollar una interfaz web accesible que integre el modelo en los sistemas de gestión escolar existentes; y (4) extender el análisis a la predicción de deserción universitaria, donde el problema es igualmente acuciante.</w:t>
      </w:r>
    </w:p>
    <w:p>
      <w:r>
        <w:br w:type="page"/>
      </w:r>
    </w:p>
    <w:p>
      <w:pPr>
        <w:pStyle w:val="Heading1"/>
        <w:spacing w:after="200" w:before="360"/>
      </w:pPr>
      <w:r>
        <w:rPr>
          <w:rFonts w:ascii="Arial" w:cs="Arial" w:eastAsia="Arial" w:hAnsi="Arial"/>
          <w:b/>
          <w:bCs/>
          <w:color w:val="1F3864"/>
          <w:sz w:val="32"/>
          <w:szCs w:val="32"/>
        </w:rPr>
        <w:t xml:space="preserve">9. Referencias Bibliográficas</w:t>
      </w:r>
    </w:p>
    <w:p>
      <w:pPr>
        <w:spacing w:after="120" w:before="80" w:line="360"/>
        <w:jc w:val="both"/>
      </w:pPr>
      <w:r>
        <w:rPr>
          <w:rFonts w:ascii="Arial" w:cs="Arial" w:eastAsia="Arial" w:hAnsi="Arial"/>
          <w:b w:val="false"/>
          <w:bCs w:val="false"/>
          <w:color w:val="374151"/>
          <w:sz w:val="20"/>
          <w:szCs w:val="20"/>
        </w:rPr>
        <w:t xml:space="preserve">Breiman, L. (2001). Random forests. Machine Learning, 45(1), 5–32. https://doi.org/10.1023/A:1010933404324</w:t>
      </w:r>
    </w:p>
    <w:p>
      <w:pPr>
        <w:spacing w:after="0" w:before="120"/>
      </w:pPr>
    </w:p>
    <w:p>
      <w:pPr>
        <w:spacing w:after="120" w:before="80" w:line="360"/>
        <w:jc w:val="both"/>
      </w:pPr>
      <w:r>
        <w:rPr>
          <w:rFonts w:ascii="Arial" w:cs="Arial" w:eastAsia="Arial" w:hAnsi="Arial"/>
          <w:b w:val="false"/>
          <w:bCs w:val="false"/>
          <w:color w:val="374151"/>
          <w:sz w:val="20"/>
          <w:szCs w:val="20"/>
        </w:rPr>
        <w:t xml:space="preserve">Chawla, N. V., Bowyer, K. W., Hall, L. O., &amp; Kegelmeyer, W. P. (2002). SMOTE: Synthetic minority over-sampling technique. Journal of Artificial Intelligence Research, 16, 321–357. https://doi.org/10.1613/jair.953</w:t>
      </w:r>
    </w:p>
    <w:p>
      <w:pPr>
        <w:spacing w:after="0" w:before="120"/>
      </w:pPr>
    </w:p>
    <w:p>
      <w:pPr>
        <w:spacing w:after="120" w:before="80" w:line="360"/>
        <w:jc w:val="both"/>
      </w:pPr>
      <w:r>
        <w:rPr>
          <w:rFonts w:ascii="Arial" w:cs="Arial" w:eastAsia="Arial" w:hAnsi="Arial"/>
          <w:b w:val="false"/>
          <w:bCs w:val="false"/>
          <w:color w:val="374151"/>
          <w:sz w:val="20"/>
          <w:szCs w:val="20"/>
        </w:rPr>
        <w:t xml:space="preserve">Dekker, G., Pechenizkiy, M., &amp; Vleeshouwers, J. (2009). Predicting students drop out: A case study. Proceedings of the 2nd International Conference on Educational Data Mining (EDM), 41–50.</w:t>
      </w:r>
    </w:p>
    <w:p>
      <w:pPr>
        <w:spacing w:after="0" w:before="120"/>
      </w:pPr>
    </w:p>
    <w:p>
      <w:pPr>
        <w:spacing w:after="120" w:before="80" w:line="360"/>
        <w:jc w:val="both"/>
      </w:pPr>
      <w:r>
        <w:rPr>
          <w:rFonts w:ascii="Arial" w:cs="Arial" w:eastAsia="Arial" w:hAnsi="Arial"/>
          <w:b w:val="false"/>
          <w:bCs w:val="false"/>
          <w:color w:val="374151"/>
          <w:sz w:val="20"/>
          <w:szCs w:val="20"/>
        </w:rPr>
        <w:t xml:space="preserve">Kotsiantis, S., Pierrakeas, C., &amp; Pintelas, P. (2004). Predicting students' performance in distance learning using machine learning techniques. Applied Artificial Intelligence, 18(5), 411–426. https://doi.org/10.1080/08839510490442058</w:t>
      </w:r>
    </w:p>
    <w:p>
      <w:pPr>
        <w:spacing w:after="0" w:before="120"/>
      </w:pPr>
    </w:p>
    <w:p>
      <w:pPr>
        <w:spacing w:after="120" w:before="80" w:line="360"/>
        <w:jc w:val="both"/>
      </w:pPr>
      <w:r>
        <w:rPr>
          <w:rFonts w:ascii="Arial" w:cs="Arial" w:eastAsia="Arial" w:hAnsi="Arial"/>
          <w:b w:val="false"/>
          <w:bCs w:val="false"/>
          <w:color w:val="374151"/>
          <w:sz w:val="20"/>
          <w:szCs w:val="20"/>
        </w:rPr>
        <w:t xml:space="preserve">Lamb, S., Markussen, E., Teese, R., Sandberg, N., &amp; Polesel, J. (2011). School dropout and completion: International comparative studies in theory and policy. Springer.</w:t>
      </w:r>
    </w:p>
    <w:p>
      <w:pPr>
        <w:spacing w:after="0" w:before="120"/>
      </w:pPr>
    </w:p>
    <w:p>
      <w:pPr>
        <w:spacing w:after="120" w:before="80" w:line="360"/>
        <w:jc w:val="both"/>
      </w:pPr>
      <w:r>
        <w:rPr>
          <w:rFonts w:ascii="Arial" w:cs="Arial" w:eastAsia="Arial" w:hAnsi="Arial"/>
          <w:b w:val="false"/>
          <w:bCs w:val="false"/>
          <w:color w:val="374151"/>
          <w:sz w:val="20"/>
          <w:szCs w:val="20"/>
        </w:rPr>
        <w:t xml:space="preserve">Ministerio de Educación de la República Dominicana (MINERD). (2024). Memoria institucional 2023–2024. Santo Domingo: MINERD.</w:t>
      </w:r>
    </w:p>
    <w:p>
      <w:pPr>
        <w:spacing w:after="0" w:before="120"/>
      </w:pPr>
    </w:p>
    <w:p>
      <w:pPr>
        <w:spacing w:after="120" w:before="80" w:line="360"/>
        <w:jc w:val="both"/>
      </w:pPr>
      <w:r>
        <w:rPr>
          <w:rFonts w:ascii="Arial" w:cs="Arial" w:eastAsia="Arial" w:hAnsi="Arial"/>
          <w:b w:val="false"/>
          <w:bCs w:val="false"/>
          <w:color w:val="374151"/>
          <w:sz w:val="20"/>
          <w:szCs w:val="20"/>
        </w:rPr>
        <w:t xml:space="preserve">Pedregosa, F., Varoquaux, G., Gramfort, A., Michel, V., Thirion, B., Grisel, O., ... &amp; Duchesnay, É. (2011). Scikit-learn: Machine learning in Python. Journal of Machine Learning Research, 12, 2825–2830.</w:t>
      </w:r>
    </w:p>
    <w:p>
      <w:pPr>
        <w:spacing w:after="0" w:before="120"/>
      </w:pPr>
    </w:p>
    <w:p>
      <w:pPr>
        <w:spacing w:after="120" w:before="80" w:line="360"/>
        <w:jc w:val="both"/>
      </w:pPr>
      <w:r>
        <w:rPr>
          <w:rFonts w:ascii="Arial" w:cs="Arial" w:eastAsia="Arial" w:hAnsi="Arial"/>
          <w:b w:val="false"/>
          <w:bCs w:val="false"/>
          <w:color w:val="374151"/>
          <w:sz w:val="20"/>
          <w:szCs w:val="20"/>
        </w:rPr>
        <w:t xml:space="preserve">Realinho, V., Machado, J., Baptista, L., &amp; Martins, M. V. (2022). Predicting student dropout and academic success. Data, 7(11), 146. https://doi.org/10.3390/data7110146</w:t>
      </w:r>
    </w:p>
    <w:p>
      <w:pPr>
        <w:spacing w:after="0" w:before="120"/>
      </w:pPr>
    </w:p>
    <w:p>
      <w:pPr>
        <w:spacing w:after="120" w:before="80" w:line="360"/>
        <w:jc w:val="both"/>
      </w:pPr>
      <w:r>
        <w:rPr>
          <w:rFonts w:ascii="Arial" w:cs="Arial" w:eastAsia="Arial" w:hAnsi="Arial"/>
          <w:b w:val="false"/>
          <w:bCs w:val="false"/>
          <w:color w:val="374151"/>
          <w:sz w:val="20"/>
          <w:szCs w:val="20"/>
        </w:rPr>
        <w:t xml:space="preserve">UNESCO. (2022). Leaving no one behind: How far on the way to universal primary and secondary education? Global Education Monitoring Report. UNESCO Publishing.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E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2026-06-11T00:25:25.250Z</dcterms:created>
  <dcterms:modified xsi:type="dcterms:W3CDTF">2026-06-11T00:25:25.266Z</dcterms:modified>
</cp:coreProperties>
</file>

<file path=docProps/custom.xml><?xml version="1.0" encoding="utf-8"?>
<Properties xmlns="http://schemas.openxmlformats.org/officeDocument/2006/custom-properties" xmlns:vt="http://schemas.openxmlformats.org/officeDocument/2006/docPropsVTypes"/>
</file>