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AD6130">
        <w:rPr>
          <w:rFonts w:hint="eastAsia"/>
          <w:b/>
          <w:sz w:val="36"/>
          <w:szCs w:val="36"/>
        </w:rPr>
        <w:t xml:space="preserve">　簿記①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6D0D5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基礎概念：資産、負債、および資本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基礎概念：収益、費用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基礎概念：損益計算書と貸借対照表との関係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取引：取引の意義と種類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取引：取引の</w:t>
      </w:r>
      <w:r w:rsidR="00773FB1">
        <w:rPr>
          <w:rFonts w:hint="eastAsia"/>
          <w:sz w:val="22"/>
        </w:rPr>
        <w:t>8</w:t>
      </w:r>
      <w:r w:rsidR="00773FB1">
        <w:rPr>
          <w:rFonts w:hint="eastAsia"/>
          <w:sz w:val="22"/>
        </w:rPr>
        <w:t>要素と統合関係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勘定：勘定の意義と分類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勘定：勘定記入法則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勘定：仕訳の意義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勘定：貸借平均の原理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帳簿：主要簿（仕訳帳と総勘定元帳）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帳簿：補助簿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帳簿：補助簿（記帳内容の集計・把握）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証ひょうと伝票：証ひょう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証ひょうと伝票：伝票（入金、出金、振替の各伝票）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F64BAF">
        <w:rPr>
          <w:rFonts w:hint="eastAsia"/>
          <w:sz w:val="22"/>
        </w:rPr>
        <w:t>証ひょうと伝票：伝票の集計・管理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4115C8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級の出題区分の簿記の基本原理の内容に関して約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4AE1"/>
    <w:rsid w:val="004115C8"/>
    <w:rsid w:val="004E79FF"/>
    <w:rsid w:val="0062187F"/>
    <w:rsid w:val="006D0D5F"/>
    <w:rsid w:val="00773FB1"/>
    <w:rsid w:val="007D1632"/>
    <w:rsid w:val="009F495B"/>
    <w:rsid w:val="00AD6130"/>
    <w:rsid w:val="00AD7741"/>
    <w:rsid w:val="00B42B5B"/>
    <w:rsid w:val="00C0383B"/>
    <w:rsid w:val="00D236B8"/>
    <w:rsid w:val="00D85454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85E25F"/>
  <w15:docId w15:val="{D70C1FC5-4DBC-4366-9711-D746FF4C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7</cp:revision>
  <cp:lastPrinted>2020-02-28T07:57:00Z</cp:lastPrinted>
  <dcterms:created xsi:type="dcterms:W3CDTF">2020-02-28T08:16:00Z</dcterms:created>
  <dcterms:modified xsi:type="dcterms:W3CDTF">2020-06-23T23:22:00Z</dcterms:modified>
</cp:coreProperties>
</file>