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val="0"/>
          <w:sz w:val="20"/>
        </w:rPr>
        <w:t>Release Notification and Corrective Action</w:t>
      </w:r>
    </w:p>
    <w:tbl>
      <w:tblPr>
        <w:tblStyle w:val="TableGrid"/>
        <w:tblW w:type="auto" w:w="0"/>
        <w:tblLook w:firstColumn="1" w:firstRow="1" w:lastColumn="0" w:lastRow="0" w:noHBand="0" w:noVBand="1" w:val="04A0"/>
      </w:tblPr>
      <w:tblGrid>
        <w:gridCol w:w="2853"/>
        <w:gridCol w:w="2853"/>
        <w:gridCol w:w="2853"/>
      </w:tblGrid>
      <w:tr>
        <w:tc>
          <w:tcPr>
            <w:tcW w:type="dxa" w:w="2853"/>
          </w:tcPr>
          <w:p>
            <w:r>
              <w:rPr>
                <w:rFonts w:ascii="Times New Roman" w:hAnsi="Times New Roman" w:eastAsia="宋体"/>
                <w:sz w:val="24"/>
              </w:rPr>
              <w:t>Surface Owner State</w:t>
            </w:r>
          </w:p>
        </w:tc>
        <w:tc>
          <w:tcPr>
            <w:tcW w:type="dxa" w:w="2853"/>
          </w:tcPr>
          <w:p>
            <w:r>
              <w:rPr>
                <w:rFonts w:ascii="Times New Roman" w:hAnsi="Times New Roman" w:eastAsia="宋体"/>
                <w:sz w:val="24"/>
              </w:rPr>
              <w:t>Mineral Owner State</w:t>
            </w:r>
          </w:p>
        </w:tc>
        <w:tc>
          <w:tcPr>
            <w:tcW w:type="dxa" w:w="2853"/>
          </w:tcPr>
          <w:p>
            <w:r>
              <w:rPr>
                <w:rFonts w:ascii="Times New Roman" w:hAnsi="Times New Roman" w:eastAsia="宋体"/>
                <w:sz w:val="24"/>
              </w:rPr>
              <w:t>Lease No. VB-827 &amp; VO-5867</w:t>
            </w:r>
          </w:p>
        </w:tc>
      </w:tr>
    </w:tbl>
    <w:p>
      <w:pPr>
        <w:spacing w:line="240" w:lineRule="auto"/>
        <w:jc w:val="center"/>
      </w:pPr>
      <w:r>
        <w:rPr>
          <w:rFonts w:ascii="Times New Roman" w:hAnsi="Times New Roman" w:eastAsia="宋体"/>
          <w:b w:val="0"/>
          <w:sz w:val="20"/>
        </w:rPr>
        <w:t>LOCATION OF RELEASE</w:t>
      </w:r>
    </w:p>
    <w:tbl>
      <w:tblPr>
        <w:tblStyle w:val="TableGrid"/>
        <w:tblW w:type="auto" w:w="0"/>
        <w:tblLook w:firstColumn="1" w:firstRow="1" w:lastColumn="0" w:lastRow="0" w:noHBand="0" w:noVBand="1" w:val="04A0"/>
      </w:tblPr>
      <w:tblGrid>
        <w:gridCol w:w="951"/>
        <w:gridCol w:w="951"/>
        <w:gridCol w:w="951"/>
        <w:gridCol w:w="951"/>
        <w:gridCol w:w="951"/>
        <w:gridCol w:w="951"/>
        <w:gridCol w:w="951"/>
        <w:gridCol w:w="951"/>
        <w:gridCol w:w="951"/>
      </w:tblGrid>
      <w:tr>
        <w:tc>
          <w:tcPr>
            <w:tcW w:type="dxa" w:w="951"/>
          </w:tcPr>
          <w:p>
            <w:r>
              <w:rPr>
                <w:rFonts w:ascii="Times New Roman" w:hAnsi="Times New Roman" w:eastAsia="宋体"/>
                <w:sz w:val="24"/>
              </w:rPr>
              <w:t>Unit Letter L</w:t>
            </w:r>
          </w:p>
        </w:tc>
        <w:tc>
          <w:tcPr>
            <w:tcW w:type="dxa" w:w="951"/>
          </w:tcPr>
          <w:p>
            <w:r>
              <w:rPr>
                <w:rFonts w:ascii="Times New Roman" w:hAnsi="Times New Roman" w:eastAsia="宋体"/>
                <w:sz w:val="24"/>
              </w:rPr>
              <w:t>Section 24</w:t>
            </w:r>
          </w:p>
        </w:tc>
        <w:tc>
          <w:tcPr>
            <w:tcW w:type="dxa" w:w="951"/>
          </w:tcPr>
          <w:p>
            <w:r>
              <w:rPr>
                <w:rFonts w:ascii="Times New Roman" w:hAnsi="Times New Roman" w:eastAsia="宋体"/>
                <w:sz w:val="24"/>
              </w:rPr>
              <w:t>Township 24S</w:t>
            </w:r>
          </w:p>
        </w:tc>
        <w:tc>
          <w:tcPr>
            <w:tcW w:type="dxa" w:w="951"/>
          </w:tcPr>
          <w:p>
            <w:r>
              <w:rPr>
                <w:rFonts w:ascii="Times New Roman" w:hAnsi="Times New Roman" w:eastAsia="宋体"/>
                <w:sz w:val="24"/>
              </w:rPr>
              <w:t>Range 27E</w:t>
            </w:r>
          </w:p>
        </w:tc>
        <w:tc>
          <w:tcPr>
            <w:tcW w:type="dxa" w:w="951"/>
          </w:tcPr>
          <w:p>
            <w:r>
              <w:rPr>
                <w:rFonts w:ascii="Times New Roman" w:hAnsi="Times New Roman" w:eastAsia="宋体"/>
                <w:sz w:val="24"/>
              </w:rPr>
              <w:t>Feet from the 1650</w:t>
            </w:r>
          </w:p>
        </w:tc>
        <w:tc>
          <w:tcPr>
            <w:tcW w:type="dxa" w:w="951"/>
          </w:tcPr>
          <w:p>
            <w:r>
              <w:rPr>
                <w:rFonts w:ascii="Times New Roman" w:hAnsi="Times New Roman" w:eastAsia="宋体"/>
                <w:sz w:val="24"/>
              </w:rPr>
              <w:t>North/South Line South</w:t>
            </w:r>
          </w:p>
        </w:tc>
        <w:tc>
          <w:tcPr>
            <w:tcW w:type="dxa" w:w="951"/>
          </w:tcPr>
          <w:p>
            <w:r>
              <w:rPr>
                <w:rFonts w:ascii="Times New Roman" w:hAnsi="Times New Roman" w:eastAsia="宋体"/>
                <w:sz w:val="24"/>
              </w:rPr>
              <w:t>Feet from the 660</w:t>
            </w:r>
          </w:p>
        </w:tc>
        <w:tc>
          <w:tcPr>
            <w:tcW w:type="dxa" w:w="951"/>
          </w:tcPr>
          <w:p>
            <w:r>
              <w:rPr>
                <w:rFonts w:ascii="Times New Roman" w:hAnsi="Times New Roman" w:eastAsia="宋体"/>
                <w:sz w:val="24"/>
              </w:rPr>
              <w:t>East/West Line West</w:t>
            </w:r>
          </w:p>
        </w:tc>
        <w:tc>
          <w:tcPr>
            <w:tcW w:type="dxa" w:w="951"/>
          </w:tcPr>
          <w:p>
            <w:r>
              <w:rPr>
                <w:rFonts w:ascii="Times New Roman" w:hAnsi="Times New Roman" w:eastAsia="宋体"/>
                <w:sz w:val="24"/>
              </w:rPr>
              <w:t>County Eddy</w:t>
            </w:r>
          </w:p>
        </w:tc>
      </w:tr>
    </w:tbl>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Latitude  </w:t>
      </w:r>
      <w:r>
        <w:rPr>
          <w:rFonts w:ascii="Times New Roman" w:hAnsi="Times New Roman" w:eastAsia="宋体"/>
          <w:b w:val="0"/>
          <w:sz w:val="24"/>
        </w:rPr>
        <w:t>$ \underline{\text{32.20029}} $</w:t>
      </w:r>
      <w:r>
        <w:rPr>
          <w:rFonts w:ascii="Times New Roman" w:hAnsi="Times New Roman" w:eastAsia="宋体"/>
          <w:b w:val="0"/>
          <w:sz w:val="24"/>
        </w:rPr>
        <w:t xml:space="preserve"> Longitude  </w:t>
      </w:r>
      <w:r>
        <w:rPr>
          <w:rFonts w:ascii="Times New Roman" w:hAnsi="Times New Roman" w:eastAsia="宋体"/>
          <w:b w:val="0"/>
          <w:sz w:val="24"/>
        </w:rPr>
        <w:t>$ \underline{\text{104.15024}} $</w:t>
      </w:r>
    </w:p>
    <w:p>
      <w:pPr>
        <w:spacing w:line="240" w:lineRule="auto"/>
        <w:jc w:val="center"/>
      </w:pPr>
      <w:r>
        <w:rPr>
          <w:rFonts w:ascii="Times New Roman" w:hAnsi="Times New Roman" w:eastAsia="宋体"/>
          <w:b w:val="0"/>
          <w:sz w:val="20"/>
        </w:rPr>
        <w:t>NATURE OF RELEASE</w:t>
      </w:r>
    </w:p>
    <w:tbl>
      <w:tblPr>
        <w:tblStyle w:val="TableGrid"/>
        <w:tblW w:type="auto" w:w="0"/>
        <w:tblLook w:firstColumn="1" w:firstRow="1" w:lastColumn="0" w:lastRow="0" w:noHBand="0" w:noVBand="1" w:val="04A0"/>
      </w:tblPr>
      <w:tblGrid>
        <w:gridCol w:w="2858"/>
        <w:gridCol w:w="2858"/>
        <w:gridCol w:w="2858"/>
      </w:tblGrid>
      <w:tr>
        <w:tc>
          <w:tcPr>
            <w:tcW w:type="dxa" w:w="2858"/>
          </w:tcPr>
          <w:p>
            <w:r>
              <w:rPr>
                <w:rFonts w:ascii="Times New Roman" w:hAnsi="Times New Roman" w:eastAsia="宋体"/>
                <w:sz w:val="24"/>
              </w:rPr>
              <w:t>Type of Release</w:t>
              <w:br/>
              <w:t>Produced Water</w:t>
            </w:r>
          </w:p>
        </w:tc>
        <w:tc>
          <w:tcPr>
            <w:tcW w:type="dxa" w:w="2858"/>
          </w:tcPr>
          <w:p>
            <w:r>
              <w:rPr>
                <w:rFonts w:ascii="Times New Roman" w:hAnsi="Times New Roman" w:eastAsia="宋体"/>
                <w:sz w:val="24"/>
              </w:rPr>
              <w:t>Volume of Release</w:t>
              <w:br/>
              <w:t>100 B/PW.</w:t>
            </w:r>
          </w:p>
        </w:tc>
        <w:tc>
          <w:tcPr>
            <w:tcW w:type="dxa" w:w="2858"/>
          </w:tcPr>
          <w:p>
            <w:r>
              <w:rPr>
                <w:rFonts w:ascii="Times New Roman" w:hAnsi="Times New Roman" w:eastAsia="宋体"/>
                <w:sz w:val="24"/>
              </w:rPr>
              <w:t>Volume Recovered</w:t>
              <w:br/>
              <w:t>90 B/PW</w:t>
            </w:r>
          </w:p>
        </w:tc>
      </w:tr>
      <w:tr>
        <w:tc>
          <w:tcPr>
            <w:tcW w:type="dxa" w:w="2858"/>
          </w:tcPr>
          <w:p>
            <w:r>
              <w:rPr>
                <w:rFonts w:ascii="Times New Roman" w:hAnsi="Times New Roman" w:eastAsia="宋体"/>
                <w:sz w:val="24"/>
              </w:rPr>
              <w:t>Source of Release</w:t>
              <w:br/>
              <w:t>Poly line</w:t>
            </w:r>
          </w:p>
        </w:tc>
        <w:tc>
          <w:tcPr>
            <w:tcW w:type="dxa" w:w="2858"/>
          </w:tcPr>
          <w:p>
            <w:r>
              <w:rPr>
                <w:rFonts w:ascii="Times New Roman" w:hAnsi="Times New Roman" w:eastAsia="宋体"/>
                <w:sz w:val="24"/>
              </w:rPr>
              <w:t>Date and Hour of Occurrence</w:t>
              <w:br/>
              <w:t>6/9/2011; PM</w:t>
            </w:r>
          </w:p>
        </w:tc>
        <w:tc>
          <w:tcPr>
            <w:tcW w:type="dxa" w:w="2858"/>
          </w:tcPr>
          <w:p>
            <w:r>
              <w:rPr>
                <w:rFonts w:ascii="Times New Roman" w:hAnsi="Times New Roman" w:eastAsia="宋体"/>
                <w:sz w:val="24"/>
              </w:rPr>
              <w:t>Date and Hour of Discovery</w:t>
              <w:br/>
              <w:t>6/9/2011; PM</w:t>
            </w:r>
          </w:p>
        </w:tc>
      </w:tr>
      <w:tr>
        <w:tc>
          <w:tcPr>
            <w:tcW w:type="dxa" w:w="2858"/>
          </w:tcPr>
          <w:p>
            <w:r>
              <w:rPr>
                <w:rFonts w:ascii="Times New Roman" w:hAnsi="Times New Roman" w:eastAsia="宋体"/>
                <w:sz w:val="24"/>
              </w:rPr>
              <w:t>Was Immediate Notice Given?</w:t>
              <w:br/>
              <w:t>☒ Yes ☐ No ☐ Not Required</w:t>
            </w:r>
          </w:p>
        </w:tc>
        <w:tc>
          <w:tcPr>
            <w:tcW w:type="dxa" w:w="2858"/>
          </w:tcPr>
          <w:p>
            <w:r>
              <w:rPr>
                <w:rFonts w:ascii="Times New Roman" w:hAnsi="Times New Roman" w:eastAsia="宋体"/>
                <w:sz w:val="24"/>
              </w:rPr>
              <w:t>If YES, To Whom?</w:t>
              <w:br/>
              <w:t>Mike Bratcher/NMOCD II</w:t>
            </w:r>
          </w:p>
        </w:tc>
        <w:tc>
          <w:tcPr>
            <w:tcW w:type="dxa" w:w="2858"/>
          </w:tcPr>
          <w:p/>
        </w:tc>
      </w:tr>
      <w:tr>
        <w:tc>
          <w:tcPr>
            <w:tcW w:type="dxa" w:w="2858"/>
          </w:tcPr>
          <w:p>
            <w:r>
              <w:rPr>
                <w:rFonts w:ascii="Times New Roman" w:hAnsi="Times New Roman" w:eastAsia="宋体"/>
                <w:sz w:val="24"/>
              </w:rPr>
              <w:t>By Whom?</w:t>
              <w:br/>
              <w:t>Bob Asher/Yates Petroleum Corporation</w:t>
            </w:r>
          </w:p>
        </w:tc>
        <w:tc>
          <w:tcPr>
            <w:tcW w:type="dxa" w:w="2858"/>
          </w:tcPr>
          <w:p>
            <w:r>
              <w:rPr>
                <w:rFonts w:ascii="Times New Roman" w:hAnsi="Times New Roman" w:eastAsia="宋体"/>
                <w:sz w:val="24"/>
              </w:rPr>
              <w:t>Date and Hour</w:t>
              <w:br/>
              <w:t>6/10/2011; AM</w:t>
            </w:r>
          </w:p>
        </w:tc>
        <w:tc>
          <w:tcPr>
            <w:tcW w:type="dxa" w:w="2858"/>
          </w:tcPr>
          <w:p/>
        </w:tc>
      </w:tr>
      <w:tr>
        <w:tc>
          <w:tcPr>
            <w:tcW w:type="dxa" w:w="2858"/>
          </w:tcPr>
          <w:p>
            <w:r>
              <w:rPr>
                <w:rFonts w:ascii="Times New Roman" w:hAnsi="Times New Roman" w:eastAsia="宋体"/>
                <w:sz w:val="24"/>
              </w:rPr>
              <w:t>Was a Watercourse Reached?</w:t>
              <w:br/>
              <w:t>☐ Yes ☒ No</w:t>
            </w:r>
          </w:p>
        </w:tc>
        <w:tc>
          <w:tcPr>
            <w:tcW w:type="dxa" w:w="2858"/>
          </w:tcPr>
          <w:p>
            <w:r>
              <w:rPr>
                <w:rFonts w:ascii="Times New Roman" w:hAnsi="Times New Roman" w:eastAsia="宋体"/>
                <w:sz w:val="24"/>
              </w:rPr>
              <w:t>If YES, Volume Impacting the Watercourse.</w:t>
              <w:br/>
              <w:t>N/A</w:t>
            </w:r>
          </w:p>
        </w:tc>
        <w:tc>
          <w:tcPr>
            <w:tcW w:type="dxa" w:w="2858"/>
          </w:tcPr>
          <w:p/>
        </w:tc>
      </w:tr>
      <w:tr>
        <w:tc>
          <w:tcPr>
            <w:tcW w:type="dxa" w:w="2858"/>
          </w:tcPr>
          <w:p>
            <w:r>
              <w:rPr>
                <w:rFonts w:ascii="Times New Roman" w:hAnsi="Times New Roman" w:eastAsia="宋体"/>
                <w:b w:val="0"/>
                <w:sz w:val="24"/>
              </w:rPr>
              <w:t xml:space="preserve">If a Watercourse was Impacted, Describe Fully. </w:t>
            </w:r>
            <w:r>
              <w:rPr>
                <w:rFonts w:ascii="Times New Roman" w:hAnsi="Times New Roman" w:eastAsia="宋体"/>
                <w:b w:val="0"/>
                <w:sz w:val="24"/>
              </w:rPr>
              <w:t>$ ^{{*}} $</w:t>
            </w:r>
            <w:r>
              <w:rPr>
                <w:rFonts w:ascii="Times New Roman" w:hAnsi="Times New Roman" w:eastAsia="宋体"/>
                <w:b w:val="0"/>
                <w:sz w:val="24"/>
              </w:rPr>
              <w:br/>
              <w:t>N/A</w:t>
            </w:r>
          </w:p>
        </w:tc>
        <w:tc>
          <w:tcPr>
            <w:tcW w:type="dxa" w:w="2858"/>
          </w:tcPr>
          <w:p/>
        </w:tc>
        <w:tc>
          <w:tcPr>
            <w:tcW w:type="dxa" w:w="2858"/>
          </w:tcPr>
          <w:p/>
        </w:tc>
      </w:tr>
      <w:tr>
        <w:tc>
          <w:tcPr>
            <w:tcW w:type="dxa" w:w="2858"/>
          </w:tcPr>
          <w:p>
            <w:r>
              <w:rPr>
                <w:rFonts w:ascii="Times New Roman" w:hAnsi="Times New Roman" w:eastAsia="宋体"/>
                <w:b w:val="0"/>
                <w:sz w:val="24"/>
              </w:rPr>
              <w:t xml:space="preserve">Describe Cause of Problem and Remedial Action Taken. </w:t>
            </w:r>
            <w:r>
              <w:rPr>
                <w:rFonts w:ascii="Times New Roman" w:hAnsi="Times New Roman" w:eastAsia="宋体"/>
                <w:b w:val="0"/>
                <w:sz w:val="24"/>
              </w:rPr>
              <w:t>$ ^{{*}} $</w:t>
            </w:r>
            <w:r>
              <w:rPr>
                <w:rFonts w:ascii="Times New Roman" w:hAnsi="Times New Roman" w:eastAsia="宋体"/>
                <w:b w:val="0"/>
                <w:sz w:val="24"/>
              </w:rPr>
              <w:br/>
              <w:t>8" poly line ruptured on a welded fuse, possibly due to an increase in main line pressure. Valves were isolated on the main waterline. Vacuum truck called.</w:t>
            </w:r>
          </w:p>
        </w:tc>
        <w:tc>
          <w:tcPr>
            <w:tcW w:type="dxa" w:w="2858"/>
          </w:tcPr>
          <w:p/>
        </w:tc>
        <w:tc>
          <w:tcPr>
            <w:tcW w:type="dxa" w:w="2858"/>
          </w:tcPr>
          <w:p/>
        </w:tc>
      </w:tr>
      <w:tr>
        <w:tc>
          <w:tcPr>
            <w:tcW w:type="dxa" w:w="2858"/>
          </w:tcPr>
          <w:p>
            <w:r>
              <w:rPr>
                <w:rFonts w:ascii="Times New Roman" w:hAnsi="Times New Roman" w:eastAsia="宋体"/>
                <w:b w:val="0"/>
                <w:sz w:val="24"/>
              </w:rPr>
              <w:t xml:space="preserve">Describe Area Affected and Cleanup Action Taken. </w:t>
            </w:r>
            <w:r>
              <w:rPr>
                <w:rFonts w:ascii="Times New Roman" w:hAnsi="Times New Roman" w:eastAsia="宋体"/>
                <w:b w:val="0"/>
                <w:sz w:val="24"/>
              </w:rPr>
              <w:t>$ ^{{*}} $</w:t>
            </w:r>
            <w:r>
              <w:rPr>
                <w:rFonts w:ascii="Times New Roman" w:hAnsi="Times New Roman" w:eastAsia="宋体"/>
                <w:b w:val="0"/>
                <w:sz w:val="24"/>
              </w:rPr>
              <w:br/>
              <w:t>An approximate area of 20' X 300' (Cigarillo SWD main line, approximately 0.4 miles west of Perdomo Battery). Remaining produced water recovered. Vertical and horizontal delineation samples will be taken and analysis ran for TPH &amp; BTEX (chlorides for documentation). If initial analytical results for TPH &amp; BTEX are under RRAL's (site ranking is 10) a Final Report, C-141 will be submitted to the OCD requesting closure. If the analytical results are above the RRAL a work plan will be submitted to the OCD. Depth to Ground Water: 50-99' (70', Section 22, T24S-R27E, NMOSE), Wellhead Protection Area: No, Distance to Surface Water Body: &gt; 1000', SITE RANKING IS 10. Based on enclosed analytical reports, impacted soils excavated/hauled, Yates Petroleum Corporation requests closure.</w:t>
            </w:r>
          </w:p>
        </w:tc>
        <w:tc>
          <w:tcPr>
            <w:tcW w:type="dxa" w:w="2858"/>
          </w:tcPr>
          <w:p/>
        </w:tc>
        <w:tc>
          <w:tcPr>
            <w:tcW w:type="dxa" w:w="2858"/>
          </w:tcPr>
          <w:p/>
        </w:tc>
      </w:tr>
      <w:tr>
        <w:tc>
          <w:tcPr>
            <w:tcW w:type="dxa" w:w="2858"/>
          </w:tcPr>
          <w:p>
            <w:r>
              <w:rPr>
                <w:rFonts w:ascii="Times New Roman" w:hAnsi="Times New Roman" w:eastAsia="宋体"/>
                <w:sz w:val="24"/>
              </w:rPr>
              <w:t>I hereby certify that the information given above is true and complete to the best of my knowledge and understand that pursuant to NMOCD rules and regulations all operators are required to report and/or file certain release notifications and perform corrective actions for releases which may endanger public health or the environment. The acceptance of a C-141 report by the NMOCD marked as "Final Report" does not relieve the operator of liability should their operations have failed to adequately investigate and remediate contamination that pose a threat to ground water, surface water, human health or the environment. In addition, NMOCD acceptance of a C-141 report does not relieve the operator of responsibility for compliance with any other federal, state, or local laws and/or regulations.</w:t>
            </w:r>
          </w:p>
        </w:tc>
        <w:tc>
          <w:tcPr>
            <w:tcW w:type="dxa" w:w="2858"/>
          </w:tcPr>
          <w:p/>
        </w:tc>
        <w:tc>
          <w:tcPr>
            <w:tcW w:type="dxa" w:w="2858"/>
          </w:tcPr>
          <w:p/>
        </w:tc>
      </w:tr>
      <w:tr>
        <w:tc>
          <w:tcPr>
            <w:tcW w:type="dxa" w:w="2858"/>
          </w:tcPr>
          <w:p>
            <w:r>
              <w:rPr>
                <w:rFonts w:ascii="Times New Roman" w:hAnsi="Times New Roman" w:eastAsia="宋体"/>
                <w:sz w:val="24"/>
              </w:rPr>
              <w:t>Signature:</w:t>
            </w:r>
          </w:p>
        </w:tc>
        <w:tc>
          <w:tcPr>
            <w:tcW w:type="dxa" w:w="2858"/>
          </w:tcPr>
          <w:p>
            <w:r>
              <w:rPr>
                <w:rFonts w:ascii="Times New Roman" w:hAnsi="Times New Roman" w:eastAsia="宋体"/>
                <w:sz w:val="24"/>
              </w:rPr>
              <w:t>OIL CONSERVATION DIVISION</w:t>
              <w:br/>
              <w:t>Signed By:</w:t>
              <w:br/>
              <w:t>Approved by District Supervisor</w:t>
            </w:r>
          </w:p>
        </w:tc>
        <w:tc>
          <w:tcPr>
            <w:tcW w:type="dxa" w:w="2858"/>
          </w:tcPr>
          <w:p/>
        </w:tc>
      </w:tr>
      <w:tr>
        <w:tc>
          <w:tcPr>
            <w:tcW w:type="dxa" w:w="2858"/>
          </w:tcPr>
          <w:p>
            <w:r>
              <w:rPr>
                <w:rFonts w:ascii="Times New Roman" w:hAnsi="Times New Roman" w:eastAsia="宋体"/>
                <w:sz w:val="24"/>
              </w:rPr>
              <w:t>Printed Name: Robert Asher</w:t>
            </w:r>
          </w:p>
        </w:tc>
        <w:tc>
          <w:tcPr>
            <w:tcW w:type="dxa" w:w="2858"/>
          </w:tcPr>
          <w:p/>
        </w:tc>
        <w:tc>
          <w:tcPr>
            <w:tcW w:type="dxa" w:w="2858"/>
          </w:tcPr>
          <w:p/>
        </w:tc>
      </w:tr>
      <w:tr>
        <w:tc>
          <w:tcPr>
            <w:tcW w:type="dxa" w:w="2858"/>
          </w:tcPr>
          <w:p>
            <w:r>
              <w:rPr>
                <w:rFonts w:ascii="Times New Roman" w:hAnsi="Times New Roman" w:eastAsia="宋体"/>
                <w:sz w:val="24"/>
              </w:rPr>
              <w:t>Title: Environmental Regulatory Agent</w:t>
            </w:r>
          </w:p>
        </w:tc>
        <w:tc>
          <w:tcPr>
            <w:tcW w:type="dxa" w:w="2858"/>
          </w:tcPr>
          <w:p>
            <w:r>
              <w:rPr>
                <w:rFonts w:ascii="Times New Roman" w:hAnsi="Times New Roman" w:eastAsia="宋体"/>
                <w:sz w:val="24"/>
              </w:rPr>
              <w:t>Approval Date: 31 Jul 2012</w:t>
            </w:r>
          </w:p>
        </w:tc>
        <w:tc>
          <w:tcPr>
            <w:tcW w:type="dxa" w:w="2858"/>
          </w:tcPr>
          <w:p>
            <w:r>
              <w:rPr>
                <w:rFonts w:ascii="Times New Roman" w:hAnsi="Times New Roman" w:eastAsia="宋体"/>
                <w:sz w:val="24"/>
              </w:rPr>
              <w:t>Expiration Date: 31 Jul 2012</w:t>
            </w:r>
          </w:p>
        </w:tc>
      </w:tr>
      <w:tr>
        <w:tc>
          <w:tcPr>
            <w:tcW w:type="dxa" w:w="2858"/>
          </w:tcPr>
          <w:p>
            <w:r>
              <w:rPr>
                <w:rFonts w:ascii="Times New Roman" w:hAnsi="Times New Roman" w:eastAsia="宋体"/>
                <w:sz w:val="24"/>
              </w:rPr>
              <w:t>E-mail Address: boba@yatespetroleum.com</w:t>
            </w:r>
          </w:p>
        </w:tc>
        <w:tc>
          <w:tcPr>
            <w:tcW w:type="dxa" w:w="2858"/>
          </w:tcPr>
          <w:p>
            <w:r>
              <w:rPr>
                <w:rFonts w:ascii="Times New Roman" w:hAnsi="Times New Roman" w:eastAsia="宋体"/>
                <w:sz w:val="24"/>
              </w:rPr>
              <w:t>Conditions of Approval: 2RP-820</w:t>
            </w:r>
          </w:p>
        </w:tc>
        <w:tc>
          <w:tcPr>
            <w:tcW w:type="dxa" w:w="2858"/>
          </w:tcPr>
          <w:p>
            <w:r>
              <w:rPr>
                <w:rFonts w:ascii="Times New Roman" w:hAnsi="Times New Roman" w:eastAsia="宋体"/>
                <w:sz w:val="24"/>
              </w:rPr>
              <w:t>Attached ☐</w:t>
            </w:r>
          </w:p>
        </w:tc>
      </w:tr>
      <w:tr>
        <w:tc>
          <w:tcPr>
            <w:tcW w:type="dxa" w:w="2858"/>
          </w:tcPr>
          <w:p>
            <w:r>
              <w:rPr>
                <w:rFonts w:ascii="Times New Roman" w:hAnsi="Times New Roman" w:eastAsia="宋体"/>
                <w:sz w:val="24"/>
              </w:rPr>
              <w:t>Date: Monday, July 30, 2012 Phone: 575-748-4021</w:t>
            </w:r>
          </w:p>
        </w:tc>
        <w:tc>
          <w:tcPr>
            <w:tcW w:type="dxa" w:w="2858"/>
          </w:tcPr>
          <w:p/>
        </w:tc>
        <w:tc>
          <w:tcPr>
            <w:tcW w:type="dxa" w:w="2858"/>
          </w:tcPr>
          <w:p/>
        </w:tc>
      </w:tr>
    </w:tbl>
    <w:p>
      <w:pPr>
        <w:spacing w:line="240" w:lineRule="auto"/>
        <w:jc w:val="left"/>
      </w:pPr>
      <w:r>
        <w:rPr>
          <w:rFonts w:ascii="Times New Roman" w:hAnsi="Times New Roman" w:eastAsia="宋体"/>
          <w:b w:val="0"/>
          <w:sz w:val="18"/>
        </w:rPr>
        <w:t>Attach Additional Sheets If Necessary</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1301 W. Grand Avenue, Artesia, NM 88210</w:t>
      <w:br/>
      <w:t>District III</w:t>
      <w:br/>
      <w:t>1000 Rio Brazos Road, Aztec, NM 87410</w:t>
      <w:br/>
      <w:t>District IV</w:t>
      <w:br/>
      <w:t>1220 S. St. Francis Dr., Santa Fe, NM 87505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