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RECEIVED</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\underline{\text{Yates Petroleum Corporation}}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Artesia, NM 88210}}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\underline{\text{March 30}} $</w:t>
      </w:r>
      <w:r>
        <w:rPr>
          <w:rFonts w:ascii="Times New Roman" w:hAnsi="Times New Roman" w:eastAsia="宋体"/>
          <w:b w:val="0"/>
          <w:sz w:val="24"/>
        </w:rPr>
        <w:t xml:space="preserve">____, Yr  </w:t>
      </w:r>
      <w:r>
        <w:rPr>
          <w:rFonts w:ascii="Times New Roman" w:hAnsi="Times New Roman" w:eastAsia="宋体"/>
          <w:b w:val="0"/>
          <w:sz w:val="24"/>
        </w:rPr>
        <w:t>$ \underline{\text{2016}} $</w:t>
      </w:r>
      <w:r>
        <w:rPr>
          <w:rFonts w:ascii="Times New Roman" w:hAnsi="Times New Roman" w:eastAsia="宋体"/>
          <w:b w:val="0"/>
          <w:sz w:val="24"/>
        </w:rPr>
        <w:t>____, for the following described tank battery (or LACT):</w:t>
      </w:r>
    </w:p>
    <w:p>
      <w:pPr>
        <w:spacing w:line="240" w:lineRule="auto"/>
        <w:ind w:firstLine="432"/>
        <w:jc w:val="both"/>
      </w:pPr>
      <w:r>
        <w:rPr>
          <w:rFonts w:ascii="Times New Roman" w:hAnsi="Times New Roman" w:eastAsia="宋体"/>
          <w:b w:val="0"/>
          <w:sz w:val="24"/>
        </w:rPr>
        <w:t>Name of Lease ___ Perdomo BMP State Com #1H ___ Name of Pool ___ Bone Springs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\underline{\text{Section 24}} $</w:t>
      </w:r>
      <w:r>
        <w:rPr>
          <w:rFonts w:ascii="Times New Roman" w:hAnsi="Times New Roman" w:eastAsia="宋体"/>
          <w:b w:val="0"/>
          <w:sz w:val="24"/>
        </w:rPr>
        <w:t xml:space="preserve"> Township  </w:t>
      </w:r>
      <w:r>
        <w:rPr>
          <w:rFonts w:ascii="Times New Roman" w:hAnsi="Times New Roman" w:eastAsia="宋体"/>
          <w:b w:val="0"/>
          <w:sz w:val="24"/>
        </w:rPr>
        <w:t>$ \underline{\text{24S}} $</w:t>
      </w:r>
      <w:r>
        <w:rPr>
          <w:rFonts w:ascii="Times New Roman" w:hAnsi="Times New Roman" w:eastAsia="宋体"/>
          <w:b w:val="0"/>
          <w:sz w:val="24"/>
        </w:rPr>
        <w:t xml:space="preserve"> Range  </w:t>
      </w:r>
      <w:r>
        <w:rPr>
          <w:rFonts w:ascii="Times New Roman" w:hAnsi="Times New Roman" w:eastAsia="宋体"/>
          <w:b w:val="0"/>
          <w:sz w:val="24"/>
        </w:rPr>
        <w:t>$ \underline{\text{27E}} $</w:t>
      </w:r>
    </w:p>
    <w:p>
      <w:pPr>
        <w:spacing w:line="240" w:lineRule="auto"/>
        <w:ind w:firstLine="432"/>
        <w:jc w:val="both"/>
      </w:pPr>
      <w:r>
        <w:rPr>
          <w:rFonts w:ascii="Times New Roman" w:hAnsi="Times New Roman" w:eastAsia="宋体"/>
          <w:b w:val="0"/>
          <w:sz w:val="24"/>
        </w:rPr>
        <w:t>Number of wells producing into battery ___ API# 30-015-36499</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\underline{54} $</w:t>
      </w:r>
      <w:r>
        <w:rPr>
          <w:rFonts w:ascii="Times New Roman" w:hAnsi="Times New Roman" w:eastAsia="宋体"/>
          <w:b w:val="0"/>
          <w:sz w:val="24"/>
        </w:rPr>
        <w:t xml:space="preserve">_____ barrels per day, the estimated * volume of gas to be flared is  </w:t>
      </w:r>
      <w:r>
        <w:rPr>
          <w:rFonts w:ascii="Times New Roman" w:hAnsi="Times New Roman" w:eastAsia="宋体"/>
          <w:b w:val="0"/>
          <w:sz w:val="24"/>
        </w:rPr>
        <w:t>$ \underline{118 +/- daily} $</w:t>
      </w:r>
      <w:r>
        <w:rPr>
          <w:rFonts w:ascii="Times New Roman" w:hAnsi="Times New Roman" w:eastAsia="宋体"/>
          <w:b w:val="0"/>
          <w:sz w:val="24"/>
        </w:rPr>
        <w:t xml:space="preserve">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Agave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 Distance  </w:t>
      </w:r>
      <w:r>
        <w:rPr>
          <w:rFonts w:ascii="Times New Roman" w:hAnsi="Times New Roman" w:eastAsia="宋体"/>
          <w:b w:val="0"/>
          <w:sz w:val="24"/>
        </w:rPr>
        <w:t>$ \underline{\hspace{2cm}} $</w:t>
      </w:r>
      <w:r>
        <w:rPr>
          <w:rFonts w:ascii="Times New Roman" w:hAnsi="Times New Roman" w:eastAsia="宋体"/>
          <w:b w:val="0"/>
          <w:sz w:val="24"/>
        </w:rPr>
        <w:t xml:space="preserve"> Estimated cost of connection  </w:t>
      </w:r>
      <w:r>
        <w:rPr>
          <w:rFonts w:ascii="Times New Roman" w:hAnsi="Times New Roman" w:eastAsia="宋体"/>
          <w:b w:val="0"/>
          <w:sz w:val="24"/>
        </w:rPr>
        <w:t>$ \underline{\hspace{2cm}} $</w:t>
      </w:r>
    </w:p>
    <w:p>
      <w:pPr>
        <w:spacing w:line="240" w:lineRule="auto"/>
        <w:ind w:firstLine="432"/>
        <w:jc w:val="both"/>
      </w:pPr>
      <w:r>
        <w:rPr>
          <w:rFonts w:ascii="Times New Roman" w:hAnsi="Times New Roman" w:eastAsia="宋体"/>
          <w:b w:val="0"/>
          <w:sz w:val="24"/>
        </w:rPr>
        <w:t>E. This exception is requested for the following reasons: ___</w:t>
      </w:r>
    </w:p>
    <w:p>
      <w:pPr>
        <w:spacing w:line="240" w:lineRule="auto"/>
        <w:ind w:firstLine="432"/>
        <w:jc w:val="both"/>
      </w:pPr>
      <w:r>
        <w:rPr>
          <w:rFonts w:ascii="Times New Roman" w:hAnsi="Times New Roman" w:eastAsia="宋体"/>
          <w:b w:val="0"/>
          <w:sz w:val="24"/>
        </w:rPr>
        <w:t>Requesting permission to flare due to abnormal system pressures in Agave lines. The possibility of flare will not be consistent, therefore, the volume above can easily fluctuate.</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&amp; Title  </w:t>
      </w:r>
      <w:r>
        <w:rPr>
          <w:rFonts w:ascii="Times New Roman" w:hAnsi="Times New Roman" w:eastAsia="宋体"/>
          <w:b w:val="0"/>
          <w:sz w:val="24"/>
        </w:rPr>
        <w:t>$ \underline{\text{Garrett Sanders-Production Analyst}}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\underline{\text{GSanders@yatespetroleum.com}} $</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Mar 30 - 2016</w:t>
      </w:r>
    </w:p>
    <w:p>
      <w:pPr>
        <w:spacing w:line="240" w:lineRule="auto"/>
        <w:ind w:firstLine="432"/>
        <w:jc w:val="both"/>
      </w:pPr>
      <w:r>
        <w:rPr>
          <w:rFonts w:ascii="Times New Roman" w:hAnsi="Times New Roman" w:eastAsia="宋体"/>
          <w:b w:val="0"/>
          <w:sz w:val="24"/>
        </w:rPr>
        <w:t>By _____</w:t>
      </w:r>
    </w:p>
    <w:p>
      <w:pPr>
        <w:spacing w:line="240" w:lineRule="auto"/>
        <w:ind w:firstLine="432"/>
        <w:jc w:val="both"/>
      </w:pPr>
      <w:r>
        <w:rPr>
          <w:rFonts w:ascii="Times New Roman" w:hAnsi="Times New Roman" w:eastAsia="宋体"/>
          <w:b w:val="0"/>
          <w:sz w:val="24"/>
        </w:rPr>
        <w:t>Title Drs T P Superwrs</w:t>
      </w:r>
    </w:p>
    <w:p>
      <w:pPr>
        <w:spacing w:line="240" w:lineRule="auto"/>
        <w:ind w:firstLine="432"/>
        <w:jc w:val="both"/>
      </w:pPr>
      <w:r>
        <w:rPr>
          <w:rFonts w:ascii="Times New Roman" w:hAnsi="Times New Roman" w:eastAsia="宋体"/>
          <w:b w:val="0"/>
          <w:sz w:val="24"/>
        </w:rPr>
        <w:t>Date 12-16-2015</w:t>
      </w:r>
    </w:p>
    <w:p>
      <w:pPr>
        <w:spacing w:line="240" w:lineRule="auto"/>
        <w:ind w:firstLine="432"/>
        <w:jc w:val="both"/>
      </w:pPr>
      <w:r>
        <w:rPr>
          <w:rFonts w:ascii="Times New Roman" w:hAnsi="Times New Roman" w:eastAsia="宋体"/>
          <w:b w:val="0"/>
          <w:sz w:val="24"/>
        </w:rPr>
        <w:t>*See Attached COAs*</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left"/>
    </w:pPr>
    <w:r>
      <w:drawing>
        <wp:inline xmlns:a="http://schemas.openxmlformats.org/drawingml/2006/main" xmlns:pic="http://schemas.openxmlformats.org/drawingml/2006/picture">
          <wp:extent cx="183688" cy="150719"/>
          <wp:docPr id="1" name="Picture 1"/>
          <wp:cNvGraphicFramePr>
            <a:graphicFrameLocks noChangeAspect="1"/>
          </wp:cNvGraphicFramePr>
          <a:graphic>
            <a:graphicData uri="http://schemas.openxmlformats.org/drawingml/2006/picture">
              <pic:pic>
                <pic:nvPicPr>
                  <pic:cNvPr id="0" name="img_in_header_image_box_303_71_342_103.jpg"/>
                  <pic:cNvPicPr/>
                </pic:nvPicPr>
                <pic:blipFill>
                  <a:blip r:embed="rId1"/>
                  <a:stretch>
                    <a:fillRect/>
                  </a:stretch>
                </pic:blipFill>
                <pic:spPr>
                  <a:xfrm>
                    <a:off x="0" y="0"/>
                    <a:ext cx="183688" cy="150719"/>
                  </a:xfrm>
                  <a:prstGeom prst="rect"/>
                </pic:spPr>
              </pic:pic>
            </a:graphicData>
          </a:graphic>
        </wp:inline>
      </w:drawing>
    </w:r>
    <w:r>
      <w:rPr>
        <w:rFonts w:ascii="Times New Roman" w:hAnsi="Times New Roman" w:eastAsia="宋体"/>
        <w:sz w:val="18"/>
      </w:rPr>
      <w:tab/>
      <w:t>Oil Conservation Division 1220 South St. Francis Dr. 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