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432"/>
        <w:jc w:val="both"/>
      </w:pPr>
      <w:r>
        <w:rPr>
          <w:rFonts w:ascii="Times New Roman" w:hAnsi="Times New Roman" w:eastAsia="宋体"/>
          <w:b w:val="0"/>
          <w:sz w:val="24"/>
        </w:rPr>
        <w:t>District I</w:t>
      </w:r>
    </w:p>
    <w:p>
      <w:pPr>
        <w:spacing w:line="240" w:lineRule="auto"/>
        <w:ind w:firstLine="432"/>
        <w:jc w:val="both"/>
      </w:pPr>
      <w:r>
        <w:rPr>
          <w:rFonts w:ascii="Times New Roman" w:hAnsi="Times New Roman" w:eastAsia="宋体"/>
          <w:b w:val="0"/>
          <w:sz w:val="24"/>
        </w:rPr>
        <w:t>1625 N. French Dr., Hobbs, NM 88240</w:t>
      </w:r>
    </w:p>
    <w:p>
      <w:pPr>
        <w:spacing w:line="240" w:lineRule="auto"/>
        <w:ind w:firstLine="432"/>
        <w:jc w:val="both"/>
      </w:pPr>
      <w:r>
        <w:rPr>
          <w:rFonts w:ascii="Times New Roman" w:hAnsi="Times New Roman" w:eastAsia="宋体"/>
          <w:b w:val="0"/>
          <w:sz w:val="24"/>
        </w:rPr>
        <w:t>District II</w:t>
      </w:r>
    </w:p>
    <w:p>
      <w:pPr>
        <w:spacing w:line="240" w:lineRule="auto"/>
        <w:ind w:firstLine="432"/>
        <w:jc w:val="both"/>
      </w:pPr>
      <w:r>
        <w:rPr>
          <w:rFonts w:ascii="Times New Roman" w:hAnsi="Times New Roman" w:eastAsia="宋体"/>
          <w:b w:val="0"/>
          <w:sz w:val="24"/>
        </w:rPr>
        <w:t>811 S. First St., Artesia, NM 88210</w:t>
      </w:r>
    </w:p>
    <w:p>
      <w:pPr>
        <w:spacing w:line="240" w:lineRule="auto"/>
        <w:ind w:firstLine="432"/>
        <w:jc w:val="both"/>
      </w:pPr>
      <w:r>
        <w:rPr>
          <w:rFonts w:ascii="Times New Roman" w:hAnsi="Times New Roman" w:eastAsia="宋体"/>
          <w:b w:val="0"/>
          <w:sz w:val="24"/>
        </w:rPr>
        <w:t>District III</w:t>
      </w:r>
    </w:p>
    <w:p>
      <w:pPr>
        <w:spacing w:line="240" w:lineRule="auto"/>
        <w:ind w:firstLine="432"/>
        <w:jc w:val="both"/>
      </w:pPr>
      <w:r>
        <w:rPr>
          <w:rFonts w:ascii="Times New Roman" w:hAnsi="Times New Roman" w:eastAsia="宋体"/>
          <w:b w:val="0"/>
          <w:sz w:val="24"/>
        </w:rPr>
        <w:t>1000 Rio Brazos Road, Aztec, NM 87410</w:t>
      </w:r>
    </w:p>
    <w:p>
      <w:pPr>
        <w:spacing w:line="240" w:lineRule="auto"/>
        <w:ind w:firstLine="432"/>
        <w:jc w:val="both"/>
      </w:pPr>
      <w:r>
        <w:rPr>
          <w:rFonts w:ascii="Times New Roman" w:hAnsi="Times New Roman" w:eastAsia="宋体"/>
          <w:b w:val="0"/>
          <w:sz w:val="24"/>
        </w:rPr>
        <w:t>District IV</w:t>
      </w:r>
    </w:p>
    <w:p>
      <w:pPr>
        <w:spacing w:line="240" w:lineRule="auto"/>
        <w:ind w:firstLine="432"/>
        <w:jc w:val="both"/>
      </w:pPr>
      <w:r>
        <w:rPr>
          <w:rFonts w:ascii="Times New Roman" w:hAnsi="Times New Roman" w:eastAsia="宋体"/>
          <w:b w:val="0"/>
          <w:sz w:val="24"/>
        </w:rPr>
        <w:t>1220 S. St. Francis Dr., Santa Fe, NM 87505</w:t>
      </w:r>
    </w:p>
    <w:p>
      <w:pPr>
        <w:spacing w:line="240" w:lineRule="auto"/>
        <w:ind w:firstLine="432"/>
        <w:jc w:val="both"/>
      </w:pPr>
      <w:r>
        <w:rPr>
          <w:rFonts w:ascii="Times New Roman" w:hAnsi="Times New Roman" w:eastAsia="宋体"/>
          <w:b w:val="0"/>
          <w:sz w:val="24"/>
        </w:rPr>
        <w:t>State of New Mexico</w:t>
      </w:r>
    </w:p>
    <w:p>
      <w:pPr>
        <w:spacing w:line="240" w:lineRule="auto"/>
        <w:ind w:firstLine="432"/>
        <w:jc w:val="both"/>
      </w:pPr>
      <w:r>
        <w:rPr>
          <w:rFonts w:ascii="Times New Roman" w:hAnsi="Times New Roman" w:eastAsia="宋体"/>
          <w:b w:val="0"/>
          <w:sz w:val="24"/>
        </w:rPr>
        <w:t>Energy Minerals and Natural Resources</w:t>
      </w:r>
    </w:p>
    <w:p>
      <w:pPr>
        <w:spacing w:line="240" w:lineRule="auto"/>
        <w:ind w:firstLine="432"/>
        <w:jc w:val="both"/>
      </w:pPr>
      <w:r>
        <w:rPr>
          <w:rFonts w:ascii="Times New Roman" w:hAnsi="Times New Roman" w:eastAsia="宋体"/>
          <w:b w:val="0"/>
          <w:sz w:val="24"/>
        </w:rPr>
        <w:t>FEB 24 2016</w:t>
      </w:r>
    </w:p>
    <w:p>
      <w:pPr>
        <w:spacing w:line="240" w:lineRule="auto"/>
        <w:ind w:firstLine="432"/>
        <w:jc w:val="both"/>
      </w:pPr>
      <w:r>
        <w:rPr>
          <w:rFonts w:ascii="Times New Roman" w:hAnsi="Times New Roman" w:eastAsia="宋体"/>
          <w:b w:val="0"/>
          <w:sz w:val="24"/>
        </w:rPr>
        <w:t>Revised August 8, 2011</w:t>
      </w:r>
    </w:p>
    <w:p>
      <w:pPr>
        <w:spacing w:line="240" w:lineRule="auto"/>
        <w:ind w:firstLine="432"/>
        <w:jc w:val="both"/>
      </w:pPr>
      <w:r>
        <w:rPr>
          <w:rFonts w:ascii="Times New Roman" w:hAnsi="Times New Roman" w:eastAsia="宋体"/>
          <w:b w:val="0"/>
          <w:sz w:val="24"/>
        </w:rPr>
        <w:t>Form C-141</w:t>
      </w:r>
    </w:p>
    <w:p>
      <w:pPr>
        <w:spacing w:line="240" w:lineRule="auto"/>
        <w:ind w:firstLine="432"/>
        <w:jc w:val="both"/>
      </w:pPr>
      <w:r>
        <w:rPr>
          <w:rFonts w:ascii="Times New Roman" w:hAnsi="Times New Roman" w:eastAsia="宋体"/>
          <w:b w:val="0"/>
          <w:sz w:val="24"/>
        </w:rPr>
        <w:t>Submit a Copy to appropriate District Office in accordance with 19.15.29 NMAC.</w:t>
      </w:r>
    </w:p>
    <w:p>
      <w:pPr>
        <w:spacing w:line="240" w:lineRule="auto"/>
        <w:jc w:val="center"/>
      </w:pPr>
      <w:r>
        <w:rPr>
          <w:rFonts w:ascii="Times New Roman" w:hAnsi="Times New Roman" w:eastAsia="宋体"/>
          <w:b w:val="0"/>
          <w:sz w:val="20"/>
        </w:rPr>
        <w:t>Release Notification and Corrective Action</w:t>
      </w:r>
    </w:p>
    <w:tbl>
      <w:tblPr>
        <w:tblStyle w:val="TableGrid"/>
        <w:tblW w:type="auto" w:w="0"/>
        <w:tblLook w:firstColumn="1" w:firstRow="1" w:lastColumn="0" w:lastRow="0" w:noHBand="0" w:noVBand="1" w:val="04A0"/>
      </w:tblPr>
      <w:tblGrid>
        <w:gridCol w:w="2714"/>
        <w:gridCol w:w="2714"/>
        <w:gridCol w:w="2714"/>
      </w:tblGrid>
      <w:tr>
        <w:tc>
          <w:tcPr>
            <w:tcW w:type="dxa" w:w="2714"/>
          </w:tcPr>
          <w:p>
            <w:r>
              <w:rPr>
                <w:rFonts w:ascii="Times New Roman" w:hAnsi="Times New Roman" w:eastAsia="宋体"/>
                <w:sz w:val="24"/>
              </w:rPr>
              <w:t>Name of Company\nYates Petroleum Corporation 25575</w:t>
            </w:r>
          </w:p>
        </w:tc>
        <w:tc>
          <w:tcPr>
            <w:tcW w:type="dxa" w:w="2714"/>
          </w:tcPr>
          <w:p>
            <w:r>
              <w:rPr>
                <w:rFonts w:ascii="Times New Roman" w:hAnsi="Times New Roman" w:eastAsia="宋体"/>
                <w:sz w:val="24"/>
              </w:rPr>
              <w:t>Operator Contact\nRobert Asher</w:t>
            </w:r>
          </w:p>
        </w:tc>
        <w:tc>
          <w:tcPr>
            <w:tcW w:type="dxa" w:w="2714"/>
          </w:tcPr>
          <w:p>
            <w:r>
              <w:rPr>
                <w:rFonts w:ascii="Times New Roman" w:hAnsi="Times New Roman" w:eastAsia="宋体"/>
                <w:sz w:val="24"/>
              </w:rPr>
              <w:t>Initial Report Final Report</w:t>
            </w:r>
          </w:p>
        </w:tc>
      </w:tr>
      <w:tr>
        <w:tc>
          <w:tcPr>
            <w:tcW w:type="dxa" w:w="2714"/>
          </w:tcPr>
          <w:p>
            <w:r>
              <w:rPr>
                <w:rFonts w:ascii="Times New Roman" w:hAnsi="Times New Roman" w:eastAsia="宋体"/>
                <w:sz w:val="24"/>
              </w:rPr>
              <w:t>Address\n104 S. 4th Street</w:t>
            </w:r>
          </w:p>
        </w:tc>
        <w:tc>
          <w:tcPr>
            <w:tcW w:type="dxa" w:w="2714"/>
          </w:tcPr>
          <w:p>
            <w:r>
              <w:rPr>
                <w:rFonts w:ascii="Times New Roman" w:hAnsi="Times New Roman" w:eastAsia="宋体"/>
                <w:sz w:val="24"/>
              </w:rPr>
              <w:t>Telephone No. 575-748-1471</w:t>
            </w:r>
          </w:p>
        </w:tc>
        <w:tc>
          <w:tcPr>
            <w:tcW w:type="dxa" w:w="2714"/>
          </w:tcPr>
          <w:p/>
        </w:tc>
      </w:tr>
      <w:tr>
        <w:tc>
          <w:tcPr>
            <w:tcW w:type="dxa" w:w="2714"/>
          </w:tcPr>
          <w:p>
            <w:r>
              <w:rPr>
                <w:rFonts w:ascii="Times New Roman" w:hAnsi="Times New Roman" w:eastAsia="宋体"/>
                <w:sz w:val="24"/>
              </w:rPr>
              <w:t>Facility Name\nPerdomo BMP State Com. #1</w:t>
            </w:r>
          </w:p>
        </w:tc>
        <w:tc>
          <w:tcPr>
            <w:tcW w:type="dxa" w:w="2714"/>
          </w:tcPr>
          <w:p>
            <w:r>
              <w:rPr>
                <w:rFonts w:ascii="Times New Roman" w:hAnsi="Times New Roman" w:eastAsia="宋体"/>
                <w:sz w:val="24"/>
              </w:rPr>
              <w:t>Facility Type\nBattery</w:t>
            </w:r>
          </w:p>
        </w:tc>
        <w:tc>
          <w:tcPr>
            <w:tcW w:type="dxa" w:w="2714"/>
          </w:tcPr>
          <w:p/>
        </w:tc>
      </w:tr>
      <w:tr>
        <w:tc>
          <w:tcPr>
            <w:tcW w:type="dxa" w:w="2714"/>
          </w:tcPr>
          <w:p>
            <w:r>
              <w:rPr>
                <w:rFonts w:ascii="Times New Roman" w:hAnsi="Times New Roman" w:eastAsia="宋体"/>
                <w:sz w:val="24"/>
              </w:rPr>
              <w:t>Surface Owner\nState</w:t>
            </w:r>
          </w:p>
        </w:tc>
        <w:tc>
          <w:tcPr>
            <w:tcW w:type="dxa" w:w="2714"/>
          </w:tcPr>
          <w:p>
            <w:r>
              <w:rPr>
                <w:rFonts w:ascii="Times New Roman" w:hAnsi="Times New Roman" w:eastAsia="宋体"/>
                <w:sz w:val="24"/>
              </w:rPr>
              <w:t>Mineral Owner\nState</w:t>
            </w:r>
          </w:p>
        </w:tc>
        <w:tc>
          <w:tcPr>
            <w:tcW w:type="dxa" w:w="2714"/>
          </w:tcPr>
          <w:p>
            <w:r>
              <w:rPr>
                <w:rFonts w:ascii="Times New Roman" w:hAnsi="Times New Roman" w:eastAsia="宋体"/>
                <w:sz w:val="24"/>
              </w:rPr>
              <w:t>API No.\n30-015-36499</w:t>
            </w:r>
          </w:p>
        </w:tc>
      </w:tr>
    </w:tbl>
    <w:p>
      <w:pPr>
        <w:spacing w:line="240" w:lineRule="auto"/>
        <w:jc w:val="center"/>
      </w:pPr>
      <w:r>
        <w:rPr>
          <w:rFonts w:ascii="Times New Roman" w:hAnsi="Times New Roman" w:eastAsia="宋体"/>
          <w:b w:val="0"/>
          <w:sz w:val="20"/>
        </w:rPr>
        <w:t>LOCATION OF RELEASE</w:t>
      </w:r>
    </w:p>
    <w:tbl>
      <w:tblPr>
        <w:tblStyle w:val="TableGrid"/>
        <w:tblW w:type="auto" w:w="0"/>
        <w:tblLook w:firstColumn="1" w:firstRow="1" w:lastColumn="0" w:lastRow="0" w:noHBand="0" w:noVBand="1" w:val="04A0"/>
      </w:tblPr>
      <w:tblGrid>
        <w:gridCol w:w="906"/>
        <w:gridCol w:w="906"/>
        <w:gridCol w:w="906"/>
        <w:gridCol w:w="906"/>
        <w:gridCol w:w="906"/>
        <w:gridCol w:w="906"/>
        <w:gridCol w:w="906"/>
        <w:gridCol w:w="906"/>
        <w:gridCol w:w="906"/>
      </w:tblGrid>
      <w:tr>
        <w:tc>
          <w:tcPr>
            <w:tcW w:type="dxa" w:w="906"/>
          </w:tcPr>
          <w:p>
            <w:r>
              <w:rPr>
                <w:rFonts w:ascii="Times New Roman" w:hAnsi="Times New Roman" w:eastAsia="宋体"/>
                <w:sz w:val="24"/>
              </w:rPr>
              <w:t>Unit Letter L</w:t>
            </w:r>
          </w:p>
        </w:tc>
        <w:tc>
          <w:tcPr>
            <w:tcW w:type="dxa" w:w="906"/>
          </w:tcPr>
          <w:p>
            <w:r>
              <w:rPr>
                <w:rFonts w:ascii="Times New Roman" w:hAnsi="Times New Roman" w:eastAsia="宋体"/>
                <w:sz w:val="24"/>
              </w:rPr>
              <w:t>Section 24</w:t>
            </w:r>
          </w:p>
        </w:tc>
        <w:tc>
          <w:tcPr>
            <w:tcW w:type="dxa" w:w="906"/>
          </w:tcPr>
          <w:p>
            <w:r>
              <w:rPr>
                <w:rFonts w:ascii="Times New Roman" w:hAnsi="Times New Roman" w:eastAsia="宋体"/>
                <w:sz w:val="24"/>
              </w:rPr>
              <w:t>Township 24S</w:t>
            </w:r>
          </w:p>
        </w:tc>
        <w:tc>
          <w:tcPr>
            <w:tcW w:type="dxa" w:w="906"/>
          </w:tcPr>
          <w:p>
            <w:r>
              <w:rPr>
                <w:rFonts w:ascii="Times New Roman" w:hAnsi="Times New Roman" w:eastAsia="宋体"/>
                <w:sz w:val="24"/>
              </w:rPr>
              <w:t>Range 27E</w:t>
            </w:r>
          </w:p>
        </w:tc>
        <w:tc>
          <w:tcPr>
            <w:tcW w:type="dxa" w:w="906"/>
          </w:tcPr>
          <w:p>
            <w:r>
              <w:rPr>
                <w:rFonts w:ascii="Times New Roman" w:hAnsi="Times New Roman" w:eastAsia="宋体"/>
                <w:sz w:val="24"/>
              </w:rPr>
              <w:t>Feet from the 1650</w:t>
            </w:r>
          </w:p>
        </w:tc>
        <w:tc>
          <w:tcPr>
            <w:tcW w:type="dxa" w:w="906"/>
          </w:tcPr>
          <w:p>
            <w:r>
              <w:rPr>
                <w:rFonts w:ascii="Times New Roman" w:hAnsi="Times New Roman" w:eastAsia="宋体"/>
                <w:sz w:val="24"/>
              </w:rPr>
              <w:t>North/South Line South</w:t>
            </w:r>
          </w:p>
        </w:tc>
        <w:tc>
          <w:tcPr>
            <w:tcW w:type="dxa" w:w="906"/>
          </w:tcPr>
          <w:p>
            <w:r>
              <w:rPr>
                <w:rFonts w:ascii="Times New Roman" w:hAnsi="Times New Roman" w:eastAsia="宋体"/>
                <w:sz w:val="24"/>
              </w:rPr>
              <w:t>Feet from the 660</w:t>
            </w:r>
          </w:p>
        </w:tc>
        <w:tc>
          <w:tcPr>
            <w:tcW w:type="dxa" w:w="906"/>
          </w:tcPr>
          <w:p>
            <w:r>
              <w:rPr>
                <w:rFonts w:ascii="Times New Roman" w:hAnsi="Times New Roman" w:eastAsia="宋体"/>
                <w:sz w:val="24"/>
              </w:rPr>
              <w:t>East/West Line West</w:t>
            </w:r>
          </w:p>
        </w:tc>
        <w:tc>
          <w:tcPr>
            <w:tcW w:type="dxa" w:w="906"/>
          </w:tcPr>
          <w:p>
            <w:r>
              <w:rPr>
                <w:rFonts w:ascii="Times New Roman" w:hAnsi="Times New Roman" w:eastAsia="宋体"/>
                <w:sz w:val="24"/>
              </w:rPr>
              <w:t>County Eddy</w:t>
            </w:r>
          </w:p>
        </w:tc>
      </w:tr>
    </w:tbl>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Latitude </w:t>
      </w:r>
      <w:r>
        <w:rPr>
          <w:rFonts w:ascii="Times New Roman" w:hAnsi="Times New Roman" w:eastAsia="宋体"/>
          <w:b w:val="0"/>
          <w:sz w:val="24"/>
        </w:rPr>
        <w:t>$ \underline{\text{32.20029}} $</w:t>
      </w:r>
      <w:r>
        <w:rPr>
          <w:rFonts w:ascii="Times New Roman" w:hAnsi="Times New Roman" w:eastAsia="宋体"/>
          <w:b w:val="0"/>
          <w:sz w:val="24"/>
        </w:rPr>
        <w:t xml:space="preserve"> Longitude </w:t>
      </w:r>
      <w:r>
        <w:rPr>
          <w:rFonts w:ascii="Times New Roman" w:hAnsi="Times New Roman" w:eastAsia="宋体"/>
          <w:b w:val="0"/>
          <w:sz w:val="24"/>
        </w:rPr>
        <w:t>$ \underline{\text{104.15024}} $</w:t>
      </w:r>
    </w:p>
    <w:p>
      <w:pPr>
        <w:spacing w:line="240" w:lineRule="auto"/>
        <w:jc w:val="center"/>
      </w:pPr>
      <w:r>
        <w:rPr>
          <w:rFonts w:ascii="Times New Roman" w:hAnsi="Times New Roman" w:eastAsia="宋体"/>
          <w:b w:val="0"/>
          <w:sz w:val="20"/>
        </w:rPr>
        <w:t>NATURE OF RELEASE</w:t>
      </w:r>
    </w:p>
    <w:tbl>
      <w:tblPr>
        <w:tblStyle w:val="TableGrid"/>
        <w:tblW w:type="auto" w:w="0"/>
        <w:tblLook w:firstColumn="1" w:firstRow="1" w:lastColumn="0" w:lastRow="0" w:noHBand="0" w:noVBand="1" w:val="04A0"/>
      </w:tblPr>
      <w:tblGrid>
        <w:gridCol w:w="2727"/>
        <w:gridCol w:w="2727"/>
        <w:gridCol w:w="2727"/>
      </w:tblGrid>
      <w:tr>
        <w:tc>
          <w:tcPr>
            <w:tcW w:type="dxa" w:w="2727"/>
          </w:tcPr>
          <w:p>
            <w:r>
              <w:rPr>
                <w:rFonts w:ascii="Times New Roman" w:hAnsi="Times New Roman" w:eastAsia="宋体"/>
                <w:sz w:val="24"/>
              </w:rPr>
              <w:t>Type of Release</w:t>
              <w:br/>
              <w:t>Produced Water</w:t>
            </w:r>
          </w:p>
        </w:tc>
        <w:tc>
          <w:tcPr>
            <w:tcW w:type="dxa" w:w="2727"/>
          </w:tcPr>
          <w:p>
            <w:r>
              <w:rPr>
                <w:rFonts w:ascii="Times New Roman" w:hAnsi="Times New Roman" w:eastAsia="宋体"/>
                <w:sz w:val="24"/>
              </w:rPr>
              <w:t>Volume of Release</w:t>
              <w:br/>
              <w:t>110 B/PW</w:t>
            </w:r>
          </w:p>
        </w:tc>
        <w:tc>
          <w:tcPr>
            <w:tcW w:type="dxa" w:w="2727"/>
          </w:tcPr>
          <w:p>
            <w:r>
              <w:rPr>
                <w:rFonts w:ascii="Times New Roman" w:hAnsi="Times New Roman" w:eastAsia="宋体"/>
                <w:sz w:val="24"/>
              </w:rPr>
              <w:t>Volume Recovered</w:t>
              <w:br/>
              <w:t>110 B/PW</w:t>
            </w:r>
          </w:p>
        </w:tc>
      </w:tr>
      <w:tr>
        <w:tc>
          <w:tcPr>
            <w:tcW w:type="dxa" w:w="2727"/>
          </w:tcPr>
          <w:p>
            <w:r>
              <w:rPr>
                <w:rFonts w:ascii="Times New Roman" w:hAnsi="Times New Roman" w:eastAsia="宋体"/>
                <w:sz w:val="24"/>
              </w:rPr>
              <w:t>Source of Release</w:t>
              <w:br/>
              <w:t>Transfer Pump</w:t>
            </w:r>
          </w:p>
        </w:tc>
        <w:tc>
          <w:tcPr>
            <w:tcW w:type="dxa" w:w="2727"/>
          </w:tcPr>
          <w:p>
            <w:r>
              <w:rPr>
                <w:rFonts w:ascii="Times New Roman" w:hAnsi="Times New Roman" w:eastAsia="宋体"/>
                <w:sz w:val="24"/>
              </w:rPr>
              <w:t>Date and Hour of Occurrence</w:t>
              <w:br/>
              <w:t>2/12/2016; AM</w:t>
            </w:r>
          </w:p>
        </w:tc>
        <w:tc>
          <w:tcPr>
            <w:tcW w:type="dxa" w:w="2727"/>
          </w:tcPr>
          <w:p>
            <w:r>
              <w:rPr>
                <w:rFonts w:ascii="Times New Roman" w:hAnsi="Times New Roman" w:eastAsia="宋体"/>
                <w:sz w:val="24"/>
              </w:rPr>
              <w:t>Date and Hour of Discovery</w:t>
              <w:br/>
              <w:t>2/12/2016; PM</w:t>
            </w:r>
          </w:p>
        </w:tc>
      </w:tr>
      <w:tr>
        <w:tc>
          <w:tcPr>
            <w:tcW w:type="dxa" w:w="2727"/>
          </w:tcPr>
          <w:p>
            <w:r>
              <w:rPr>
                <w:rFonts w:ascii="Times New Roman" w:hAnsi="Times New Roman" w:eastAsia="宋体"/>
                <w:sz w:val="24"/>
              </w:rPr>
              <w:t>Was Immediate Notice Given?</w:t>
              <w:br/>
              <w:t>☒ Yes ☐ No ☐ Not Required</w:t>
            </w:r>
          </w:p>
        </w:tc>
        <w:tc>
          <w:tcPr>
            <w:tcW w:type="dxa" w:w="2727"/>
          </w:tcPr>
          <w:p>
            <w:r>
              <w:rPr>
                <w:rFonts w:ascii="Times New Roman" w:hAnsi="Times New Roman" w:eastAsia="宋体"/>
                <w:sz w:val="24"/>
              </w:rPr>
              <w:t>If YES, To Whom?</w:t>
              <w:br/>
              <w:t>Mike Bratcher/NMOCD</w:t>
            </w:r>
          </w:p>
        </w:tc>
        <w:tc>
          <w:tcPr>
            <w:tcW w:type="dxa" w:w="2727"/>
          </w:tcPr>
          <w:p/>
        </w:tc>
      </w:tr>
      <w:tr>
        <w:tc>
          <w:tcPr>
            <w:tcW w:type="dxa" w:w="2727"/>
          </w:tcPr>
          <w:p>
            <w:r>
              <w:rPr>
                <w:rFonts w:ascii="Times New Roman" w:hAnsi="Times New Roman" w:eastAsia="宋体"/>
                <w:sz w:val="24"/>
              </w:rPr>
              <w:t>By Whom?</w:t>
              <w:br/>
              <w:t>Robert Asher/Yates Petroleum Corporation</w:t>
            </w:r>
          </w:p>
        </w:tc>
        <w:tc>
          <w:tcPr>
            <w:tcW w:type="dxa" w:w="2727"/>
          </w:tcPr>
          <w:p>
            <w:r>
              <w:rPr>
                <w:rFonts w:ascii="Times New Roman" w:hAnsi="Times New Roman" w:eastAsia="宋体"/>
                <w:sz w:val="24"/>
              </w:rPr>
              <w:t>Date and Hour</w:t>
              <w:br/>
              <w:t>2/12/2016; AM (e-mail)</w:t>
            </w:r>
          </w:p>
        </w:tc>
        <w:tc>
          <w:tcPr>
            <w:tcW w:type="dxa" w:w="2727"/>
          </w:tcPr>
          <w:p>
            <w:r>
              <w:rPr>
                <w:rFonts w:ascii="Times New Roman" w:hAnsi="Times New Roman" w:eastAsia="宋体"/>
                <w:sz w:val="24"/>
              </w:rPr>
              <w:t>7:13am * e-mail</w:t>
            </w:r>
          </w:p>
        </w:tc>
      </w:tr>
      <w:tr>
        <w:tc>
          <w:tcPr>
            <w:tcW w:type="dxa" w:w="2727"/>
          </w:tcPr>
          <w:p>
            <w:r>
              <w:rPr>
                <w:rFonts w:ascii="Times New Roman" w:hAnsi="Times New Roman" w:eastAsia="宋体"/>
                <w:sz w:val="24"/>
              </w:rPr>
              <w:t>Was a Watercourse Reached?</w:t>
              <w:br/>
              <w:t>☐ Yes ☒ No</w:t>
            </w:r>
          </w:p>
        </w:tc>
        <w:tc>
          <w:tcPr>
            <w:tcW w:type="dxa" w:w="2727"/>
          </w:tcPr>
          <w:p>
            <w:r>
              <w:rPr>
                <w:rFonts w:ascii="Times New Roman" w:hAnsi="Times New Roman" w:eastAsia="宋体"/>
                <w:sz w:val="24"/>
              </w:rPr>
              <w:t>If YES, Volume Impacting the Watercourse.</w:t>
            </w:r>
          </w:p>
        </w:tc>
        <w:tc>
          <w:tcPr>
            <w:tcW w:type="dxa" w:w="2727"/>
          </w:tcPr>
          <w:p/>
        </w:tc>
      </w:tr>
      <w:tr>
        <w:tc>
          <w:tcPr>
            <w:tcW w:type="dxa" w:w="2727"/>
          </w:tcPr>
          <w:p>
            <w:r>
              <w:rPr>
                <w:rFonts w:ascii="Times New Roman" w:hAnsi="Times New Roman" w:eastAsia="宋体"/>
                <w:sz w:val="24"/>
              </w:rPr>
              <w:t>If a Watercourse was Impacted, Describe Fully.*</w:t>
            </w:r>
          </w:p>
        </w:tc>
        <w:tc>
          <w:tcPr>
            <w:tcW w:type="dxa" w:w="2727"/>
          </w:tcPr>
          <w:p/>
        </w:tc>
        <w:tc>
          <w:tcPr>
            <w:tcW w:type="dxa" w:w="2727"/>
          </w:tcPr>
          <w:p/>
        </w:tc>
      </w:tr>
      <w:tr>
        <w:tc>
          <w:tcPr>
            <w:tcW w:type="dxa" w:w="2727"/>
          </w:tcPr>
          <w:p>
            <w:r>
              <w:rPr>
                <w:rFonts w:ascii="Times New Roman" w:hAnsi="Times New Roman" w:eastAsia="宋体"/>
                <w:sz w:val="24"/>
              </w:rPr>
              <w:t>Describe Cause of Problem and Remedial Action Taken.*</w:t>
              <w:br/>
              <w:t>The transfer pump seal failed, causing the pump to lock up and not send produced water to the SWD. Vacuum truck(s) were called.</w:t>
            </w:r>
          </w:p>
        </w:tc>
        <w:tc>
          <w:tcPr>
            <w:tcW w:type="dxa" w:w="2727"/>
          </w:tcPr>
          <w:p/>
        </w:tc>
        <w:tc>
          <w:tcPr>
            <w:tcW w:type="dxa" w:w="2727"/>
          </w:tcPr>
          <w:p/>
        </w:tc>
      </w:tr>
      <w:tr>
        <w:tc>
          <w:tcPr>
            <w:tcW w:type="dxa" w:w="2727"/>
          </w:tcPr>
          <w:p>
            <w:r>
              <w:rPr>
                <w:rFonts w:ascii="Times New Roman" w:hAnsi="Times New Roman" w:eastAsia="宋体"/>
                <w:sz w:val="24"/>
              </w:rPr>
              <w:t>Describe Area Affected and Cleanup Action Taken.*</w:t>
              <w:br/>
              <w:t>An approximate area of 20' X 80' (inside bermed and lined battery). All of the produced water recovered. The transfer pumps were switched and the well/battery is back in operation. Depth to Ground Water: 50-99' (approx. 70', ChevronTexaco Trend Map), Wellhead Protection Area: No, Distance to Surface Water Body: &gt;1000', SITE RANKING IS 10. Based on recovery of all produced water and the battery is bermed/lined and liner intact, Yates Petroleum Corporation requests closure.</w:t>
            </w:r>
          </w:p>
        </w:tc>
        <w:tc>
          <w:tcPr>
            <w:tcW w:type="dxa" w:w="2727"/>
          </w:tcPr>
          <w:p/>
        </w:tc>
        <w:tc>
          <w:tcPr>
            <w:tcW w:type="dxa" w:w="2727"/>
          </w:tcPr>
          <w:p/>
        </w:tc>
      </w:tr>
      <w:tr>
        <w:tc>
          <w:tcPr>
            <w:tcW w:type="dxa" w:w="2727"/>
          </w:tcPr>
          <w:p>
            <w:r>
              <w:rPr>
                <w:rFonts w:ascii="Times New Roman" w:hAnsi="Times New Roman" w:eastAsia="宋体"/>
                <w:sz w:val="24"/>
              </w:rPr>
              <w:t>I hereby certify that the information given above is true and complete to the best of my knowledge and understand that pursuant to NMOCD rules and regulations all operators are required to report and/or file certain release notifications and perform corrective actions for releases which may endanger public health or the environment. The acceptance of a C-141 report by the NMOCD marked as "Final Report" does not relieve the operator of liability should their operations have failed to adequately investigate and remediate contamination that pose a threat to ground water, surface water, human health or the environment. In addition, NMOCD acceptance of a C-141 report does not relieve the operator of responsibility for compliance with any other federal, state, or local laws and/or regulations.</w:t>
            </w:r>
          </w:p>
        </w:tc>
        <w:tc>
          <w:tcPr>
            <w:tcW w:type="dxa" w:w="2727"/>
          </w:tcPr>
          <w:p/>
        </w:tc>
        <w:tc>
          <w:tcPr>
            <w:tcW w:type="dxa" w:w="2727"/>
          </w:tcPr>
          <w:p/>
        </w:tc>
      </w:tr>
      <w:tr>
        <w:tc>
          <w:tcPr>
            <w:tcW w:type="dxa" w:w="2727"/>
          </w:tcPr>
          <w:p>
            <w:r>
              <w:rPr>
                <w:rFonts w:ascii="Times New Roman" w:hAnsi="Times New Roman" w:eastAsia="宋体"/>
                <w:sz w:val="24"/>
              </w:rPr>
              <w:t>Signature:</w:t>
            </w:r>
          </w:p>
        </w:tc>
        <w:tc>
          <w:tcPr>
            <w:tcW w:type="dxa" w:w="2727"/>
          </w:tcPr>
          <w:p>
            <w:r>
              <w:rPr>
                <w:rFonts w:ascii="Times New Roman" w:hAnsi="Times New Roman" w:eastAsia="宋体"/>
                <w:sz w:val="24"/>
              </w:rPr>
              <w:t>OIL CONSERVATION DIVISION</w:t>
              <w:br/>
              <w:t>Signed By:</w:t>
              <w:br/>
              <w:t>Approved by Environmental Specialist:</w:t>
            </w:r>
          </w:p>
        </w:tc>
        <w:tc>
          <w:tcPr>
            <w:tcW w:type="dxa" w:w="2727"/>
          </w:tcPr>
          <w:p/>
        </w:tc>
      </w:tr>
      <w:tr>
        <w:tc>
          <w:tcPr>
            <w:tcW w:type="dxa" w:w="2727"/>
          </w:tcPr>
          <w:p>
            <w:r>
              <w:rPr>
                <w:rFonts w:ascii="Times New Roman" w:hAnsi="Times New Roman" w:eastAsia="宋体"/>
                <w:sz w:val="24"/>
              </w:rPr>
              <w:t>Printed Name: Robert Asher</w:t>
            </w:r>
          </w:p>
        </w:tc>
        <w:tc>
          <w:tcPr>
            <w:tcW w:type="dxa" w:w="2727"/>
          </w:tcPr>
          <w:p/>
        </w:tc>
        <w:tc>
          <w:tcPr>
            <w:tcW w:type="dxa" w:w="2727"/>
          </w:tcPr>
          <w:p/>
        </w:tc>
      </w:tr>
      <w:tr>
        <w:tc>
          <w:tcPr>
            <w:tcW w:type="dxa" w:w="2727"/>
          </w:tcPr>
          <w:p>
            <w:r>
              <w:rPr>
                <w:rFonts w:ascii="Times New Roman" w:hAnsi="Times New Roman" w:eastAsia="宋体"/>
                <w:sz w:val="24"/>
              </w:rPr>
              <w:t>Title: NM Environmental Regulatory Supervisor</w:t>
            </w:r>
          </w:p>
        </w:tc>
        <w:tc>
          <w:tcPr>
            <w:tcW w:type="dxa" w:w="2727"/>
          </w:tcPr>
          <w:p>
            <w:r>
              <w:rPr>
                <w:rFonts w:ascii="Times New Roman" w:hAnsi="Times New Roman" w:eastAsia="宋体"/>
                <w:sz w:val="24"/>
              </w:rPr>
              <w:t>Approval Date: 2/25/16</w:t>
            </w:r>
          </w:p>
        </w:tc>
        <w:tc>
          <w:tcPr>
            <w:tcW w:type="dxa" w:w="2727"/>
          </w:tcPr>
          <w:p>
            <w:r>
              <w:rPr>
                <w:rFonts w:ascii="Times New Roman" w:hAnsi="Times New Roman" w:eastAsia="宋体"/>
                <w:sz w:val="24"/>
              </w:rPr>
              <w:t>Expiration Date: N/A</w:t>
            </w:r>
          </w:p>
        </w:tc>
      </w:tr>
      <w:tr>
        <w:tc>
          <w:tcPr>
            <w:tcW w:type="dxa" w:w="2727"/>
          </w:tcPr>
          <w:p>
            <w:r>
              <w:rPr>
                <w:rFonts w:ascii="Times New Roman" w:hAnsi="Times New Roman" w:eastAsia="宋体"/>
                <w:sz w:val="24"/>
              </w:rPr>
              <w:t>E-mail Address: boba@yatespetroleum.com</w:t>
            </w:r>
          </w:p>
        </w:tc>
        <w:tc>
          <w:tcPr>
            <w:tcW w:type="dxa" w:w="2727"/>
          </w:tcPr>
          <w:p>
            <w:r>
              <w:rPr>
                <w:rFonts w:ascii="Times New Roman" w:hAnsi="Times New Roman" w:eastAsia="宋体"/>
                <w:sz w:val="24"/>
              </w:rPr>
              <w:t>Conditions of Approval:</w:t>
              <w:br/>
              <w:t>FINAL</w:t>
              <w:br/>
              <w:t>2RP-</w:t>
            </w:r>
          </w:p>
        </w:tc>
        <w:tc>
          <w:tcPr>
            <w:tcW w:type="dxa" w:w="2727"/>
          </w:tcPr>
          <w:p>
            <w:r>
              <w:rPr>
                <w:rFonts w:ascii="Times New Roman" w:hAnsi="Times New Roman" w:eastAsia="宋体"/>
                <w:sz w:val="24"/>
              </w:rPr>
              <w:t>Attached ☐</w:t>
            </w:r>
          </w:p>
        </w:tc>
      </w:tr>
      <w:tr>
        <w:tc>
          <w:tcPr>
            <w:tcW w:type="dxa" w:w="2727"/>
          </w:tcPr>
          <w:p>
            <w:r>
              <w:rPr>
                <w:rFonts w:ascii="Times New Roman" w:hAnsi="Times New Roman" w:eastAsia="宋体"/>
                <w:sz w:val="24"/>
              </w:rPr>
              <w:t>Date: February 24, 2016 Phone: 575-748-4217</w:t>
            </w:r>
          </w:p>
        </w:tc>
        <w:tc>
          <w:tcPr>
            <w:tcW w:type="dxa" w:w="2727"/>
          </w:tcPr>
          <w:p/>
        </w:tc>
        <w:tc>
          <w:tcPr>
            <w:tcW w:type="dxa" w:w="2727"/>
          </w:tcPr>
          <w:p/>
        </w:tc>
      </w:tr>
    </w:tbl>
    <w:p>
      <w:pPr>
        <w:spacing w:line="240" w:lineRule="auto"/>
        <w:jc w:val="left"/>
      </w:pPr>
      <w:r>
        <w:rPr>
          <w:rFonts w:ascii="Times New Roman" w:hAnsi="Times New Roman" w:eastAsia="宋体"/>
          <w:b w:val="0"/>
          <w:sz w:val="18"/>
        </w:rPr>
      </w:r>
      <w:r>
        <w:rPr>
          <w:rFonts w:ascii="Times New Roman" w:hAnsi="Times New Roman" w:eastAsia="宋体"/>
          <w:b w:val="0"/>
          <w:sz w:val="18"/>
        </w:rPr>
        <w:t>$ ^{*} $</w:t>
      </w:r>
      <w:r>
        <w:rPr>
          <w:rFonts w:ascii="Times New Roman" w:hAnsi="Times New Roman" w:eastAsia="宋体"/>
          <w:b w:val="0"/>
          <w:sz w:val="18"/>
        </w:rPr>
        <w:t xml:space="preserve"> Attach Additional Sheets If Necessary</w:t>
      </w:r>
    </w:p>
    <w:sectPr w:rsidR="00FC693F" w:rsidRPr="0006063C" w:rsidSect="00034616">
      <w:headerReference w:type="default" r:id="rId9"/>
      <w:footerReference w:type="default" r:id="rId10"/>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rFonts w:ascii="Times New Roman" w:hAnsi="Times New Roman" w:eastAsia="宋体"/>
      </w:rPr>
      <w:t>2RP-3567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center"/>
    </w:pPr>
    <w:r>
      <w:rPr>
        <w:rFonts w:ascii="Times New Roman" w:hAnsi="Times New Roman" w:eastAsia="宋体"/>
      </w:rPr>
      <w:t>NM OIL CONSERVATION</w:t>
      <w:br/>
      <w:t>ARTESIA DISTRICT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