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eastAsia="宋体"/>
          <w:b/>
          <w:sz w:val="40"/>
        </w:rPr>
        <w:t>State of New Mexico</w:t>
      </w:r>
    </w:p>
    <w:p>
      <w:pPr>
        <w:spacing w:line="240" w:lineRule="auto"/>
        <w:jc w:val="center"/>
      </w:pPr>
      <w:r>
        <w:rPr>
          <w:rFonts w:ascii="Times New Roman" w:hAnsi="Times New Roman" w:eastAsia="宋体"/>
          <w:b/>
          <w:sz w:val="40"/>
        </w:rPr>
        <w:t>Energy, Minerals and Natural Resources Department</w:t>
      </w:r>
    </w:p>
    <w:p>
      <w:pPr>
        <w:spacing w:line="240" w:lineRule="auto"/>
        <w:ind w:firstLine="432"/>
        <w:jc w:val="both"/>
      </w:pPr>
      <w:r>
        <w:rPr>
          <w:rFonts w:ascii="Times New Roman" w:hAnsi="Times New Roman" w:eastAsia="宋体"/>
          <w:b w:val="0"/>
          <w:sz w:val="24"/>
        </w:rPr>
        <w:t>Susana Martinez</w:t>
      </w:r>
    </w:p>
    <w:p>
      <w:pPr>
        <w:spacing w:line="240" w:lineRule="auto"/>
        <w:ind w:firstLine="432"/>
        <w:jc w:val="both"/>
      </w:pPr>
      <w:r>
        <w:rPr>
          <w:rFonts w:ascii="Times New Roman" w:hAnsi="Times New Roman" w:eastAsia="宋体"/>
          <w:b w:val="0"/>
          <w:sz w:val="24"/>
        </w:rPr>
        <w:t>Governor</w:t>
      </w:r>
    </w:p>
    <w:p>
      <w:pPr>
        <w:spacing w:line="240" w:lineRule="auto"/>
        <w:ind w:firstLine="432"/>
        <w:jc w:val="both"/>
      </w:pPr>
      <w:r>
        <w:rPr>
          <w:rFonts w:ascii="Times New Roman" w:hAnsi="Times New Roman" w:eastAsia="宋体"/>
          <w:b w:val="0"/>
          <w:sz w:val="24"/>
        </w:rPr>
        <w:t>David Martin</w:t>
      </w:r>
    </w:p>
    <w:p>
      <w:pPr>
        <w:spacing w:line="240" w:lineRule="auto"/>
        <w:ind w:firstLine="432"/>
        <w:jc w:val="both"/>
      </w:pPr>
      <w:r>
        <w:rPr>
          <w:rFonts w:ascii="Times New Roman" w:hAnsi="Times New Roman" w:eastAsia="宋体"/>
          <w:b w:val="0"/>
          <w:sz w:val="24"/>
        </w:rPr>
        <w:t>Cabinet Secretary</w:t>
      </w:r>
    </w:p>
    <w:p>
      <w:pPr>
        <w:spacing w:line="240" w:lineRule="auto"/>
        <w:ind w:firstLine="432"/>
        <w:jc w:val="both"/>
      </w:pPr>
      <w:r>
        <w:rPr>
          <w:rFonts w:ascii="Times New Roman" w:hAnsi="Times New Roman" w:eastAsia="宋体"/>
          <w:b w:val="0"/>
          <w:sz w:val="24"/>
        </w:rPr>
        <w:t>Tony Delfin</w:t>
      </w:r>
    </w:p>
    <w:p>
      <w:pPr>
        <w:spacing w:line="240" w:lineRule="auto"/>
        <w:ind w:firstLine="432"/>
        <w:jc w:val="both"/>
      </w:pPr>
      <w:r>
        <w:rPr>
          <w:rFonts w:ascii="Times New Roman" w:hAnsi="Times New Roman" w:eastAsia="宋体"/>
          <w:b w:val="0"/>
          <w:sz w:val="24"/>
        </w:rPr>
        <w:t>Deputy Cabinet Secretary</w:t>
      </w:r>
    </w:p>
    <w:p>
      <w:pPr>
        <w:jc w:val="center"/>
      </w:pPr>
      <w:r>
        <w:drawing>
          <wp:inline xmlns:a="http://schemas.openxmlformats.org/drawingml/2006/main" xmlns:pic="http://schemas.openxmlformats.org/drawingml/2006/picture">
            <wp:extent cx="666843" cy="666843"/>
            <wp:docPr id="1" name="Picture 1"/>
            <wp:cNvGraphicFramePr>
              <a:graphicFrameLocks noChangeAspect="1"/>
            </wp:cNvGraphicFramePr>
            <a:graphic>
              <a:graphicData uri="http://schemas.openxmlformats.org/drawingml/2006/picture">
                <pic:pic>
                  <pic:nvPicPr>
                    <pic:cNvPr id="0" name="img_in_image_box_927_189_1068_330.jpg"/>
                    <pic:cNvPicPr/>
                  </pic:nvPicPr>
                  <pic:blipFill>
                    <a:blip r:embed="rId10"/>
                    <a:stretch>
                      <a:fillRect/>
                    </a:stretch>
                  </pic:blipFill>
                  <pic:spPr>
                    <a:xfrm>
                      <a:off x="0" y="0"/>
                      <a:ext cx="666843" cy="666843"/>
                    </a:xfrm>
                    <a:prstGeom prst="rect"/>
                  </pic:spPr>
                </pic:pic>
              </a:graphicData>
            </a:graphic>
          </wp:inline>
        </w:drawing>
      </w:r>
    </w:p>
    <w:p>
      <w:pPr>
        <w:spacing w:line="240" w:lineRule="auto"/>
        <w:ind w:firstLine="432"/>
        <w:jc w:val="both"/>
      </w:pPr>
      <w:r>
        <w:rPr>
          <w:rFonts w:ascii="Times New Roman" w:hAnsi="Times New Roman" w:eastAsia="宋体"/>
          <w:b w:val="0"/>
          <w:sz w:val="24"/>
        </w:rPr>
        <w:t>FOR IMMEDIATE RELEASE</w:t>
      </w:r>
    </w:p>
    <w:p>
      <w:pPr>
        <w:spacing w:line="240" w:lineRule="auto"/>
        <w:ind w:firstLine="432"/>
        <w:jc w:val="both"/>
      </w:pPr>
      <w:r>
        <w:rPr>
          <w:rFonts w:ascii="Times New Roman" w:hAnsi="Times New Roman" w:eastAsia="宋体"/>
          <w:b w:val="0"/>
          <w:sz w:val="24"/>
        </w:rPr>
        <w:t>Contact: Jim Winchester (505)231-8800 E-Mail: jim.winchester@state.nm.us</w:t>
      </w:r>
    </w:p>
    <w:p>
      <w:pPr>
        <w:spacing w:line="240" w:lineRule="auto"/>
        <w:jc w:val="left"/>
      </w:pPr>
      <w:r>
        <w:rPr>
          <w:rFonts w:ascii="Times New Roman" w:hAnsi="Times New Roman" w:eastAsia="宋体"/>
          <w:b/>
          <w:sz w:val="28"/>
        </w:rPr>
        <w:t>Notice to Oil and Gas Facilities and Operators Flaring Gas in New Mexico</w:t>
      </w:r>
    </w:p>
    <w:p>
      <w:pPr>
        <w:spacing w:line="240" w:lineRule="auto"/>
        <w:ind w:firstLine="432"/>
        <w:jc w:val="both"/>
      </w:pPr>
      <w:r>
        <w:rPr>
          <w:rFonts w:ascii="Times New Roman" w:hAnsi="Times New Roman" w:eastAsia="宋体"/>
          <w:b w:val="0"/>
          <w:sz w:val="24"/>
        </w:rPr>
        <w:t>SANTA FE, NM – The Oil Conservation Division (OCD) encourages all oil and gas facilities with flare stacks and well operators that are flaring gas to upgrade their Fire Awareness Programs this year. New Mexico State Forestry reports that 460 fires have burned 25,475 acres on state and private land in calendar year 2012.</w:t>
      </w:r>
    </w:p>
    <w:p>
      <w:pPr>
        <w:spacing w:line="240" w:lineRule="auto"/>
        <w:ind w:firstLine="432"/>
        <w:jc w:val="both"/>
      </w:pPr>
      <w:r>
        <w:rPr>
          <w:rFonts w:ascii="Times New Roman" w:hAnsi="Times New Roman" w:eastAsia="宋体"/>
          <w:b w:val="0"/>
          <w:sz w:val="24"/>
        </w:rPr>
        <w:t>Forecasts remain dismal this spring with fewer chances for normal precipitation, particularly in southwestern New Mexico and southeastern Arizona. Temperatures could also be higher than normal.</w:t>
      </w:r>
    </w:p>
    <w:p>
      <w:pPr>
        <w:spacing w:line="240" w:lineRule="auto"/>
        <w:ind w:firstLine="432"/>
        <w:jc w:val="both"/>
      </w:pPr>
      <w:r>
        <w:rPr>
          <w:rFonts w:ascii="Times New Roman" w:hAnsi="Times New Roman" w:eastAsia="宋体"/>
          <w:b w:val="0"/>
          <w:sz w:val="24"/>
        </w:rPr>
        <w:t>Open flames and gas flares should be monitored carefully and oil and gas operators should create a defensible space to help prevent wildfires. Defensible Space is the area around a structure where combustible vegetation that can spread fire has been cleared, reduced or replaced. This space acts as a barrier between a structure and an advancing wildfire.</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During the course of the upcoming fire season, it may become necessary for New Mexico State Forestry to issue fire restriction on State and private land. Log on to  </w:t>
      </w:r>
      <w:r>
        <w:rPr>
          <w:rFonts w:ascii="Times New Roman" w:hAnsi="Times New Roman" w:eastAsia="宋体"/>
          <w:b w:val="0"/>
          <w:sz w:val="24"/>
        </w:rPr>
        <w:t>$ \underline{\text{www.nmforestry.com}} $</w:t>
      </w:r>
      <w:r>
        <w:rPr>
          <w:rFonts w:ascii="Times New Roman" w:hAnsi="Times New Roman" w:eastAsia="宋体"/>
          <w:b w:val="0"/>
          <w:sz w:val="24"/>
        </w:rPr>
        <w:t xml:space="preserve"> for updates or call your local district office.</w:t>
      </w:r>
    </w:p>
    <w:p>
      <w:pPr>
        <w:spacing w:line="240" w:lineRule="auto"/>
        <w:ind w:firstLine="432"/>
        <w:jc w:val="both"/>
      </w:pPr>
      <w:r>
        <w:rPr>
          <w:rFonts w:ascii="Times New Roman" w:hAnsi="Times New Roman" w:eastAsia="宋体"/>
          <w:b w:val="0"/>
          <w:sz w:val="24"/>
        </w:rPr>
        <w:t>New Mexico State Forestry offers the following guidelines for establishing effective defensible space:</w:t>
      </w:r>
    </w:p>
    <w:p>
      <w:pPr>
        <w:spacing w:line="240" w:lineRule="auto"/>
        <w:ind w:firstLine="432"/>
        <w:jc w:val="both"/>
      </w:pPr>
      <w:r>
        <w:rPr>
          <w:rFonts w:ascii="Times New Roman" w:hAnsi="Times New Roman" w:eastAsia="宋体"/>
          <w:b w:val="0"/>
          <w:sz w:val="24"/>
        </w:rPr>
        <w:t>Create a "Lean, Clean and Green" firebreak area by removing flammable vegetation and growth within 30 feet of each structure. Single trees and shrubs may be retained if they are well spaced, pruned and placed so they avoid the spread of fire. Maintain an irrigation system for any vegetation near structures.</w:t>
      </w:r>
    </w:p>
    <w:p>
      <w:pPr>
        <w:spacing w:line="240" w:lineRule="auto"/>
        <w:ind w:firstLine="432"/>
        <w:jc w:val="both"/>
      </w:pPr>
      <w:r>
        <w:rPr>
          <w:rFonts w:ascii="Times New Roman" w:hAnsi="Times New Roman" w:eastAsia="宋体"/>
          <w:b w:val="0"/>
          <w:sz w:val="24"/>
        </w:rPr>
        <w:t>• Keep grass and weeds mowed.</w:t>
      </w:r>
    </w:p>
    <w:p>
      <w:pPr>
        <w:spacing w:line="240" w:lineRule="auto"/>
        <w:ind w:firstLine="432"/>
        <w:jc w:val="both"/>
      </w:pPr>
      <w:r>
        <w:rPr>
          <w:rFonts w:ascii="Times New Roman" w:hAnsi="Times New Roman" w:eastAsia="宋体"/>
          <w:b w:val="0"/>
          <w:sz w:val="24"/>
        </w:rPr>
        <w:t>• Prune lower tree limbs to at least 6 feet up to 15 feet (or lower 1/3 of branches on smaller trees).</w:t>
      </w:r>
    </w:p>
    <w:p>
      <w:pPr>
        <w:spacing w:line="240" w:lineRule="auto"/>
        <w:ind w:firstLine="432"/>
        <w:jc w:val="both"/>
      </w:pPr>
      <w:r>
        <w:rPr>
          <w:rFonts w:ascii="Times New Roman" w:hAnsi="Times New Roman" w:eastAsia="宋体"/>
          <w:b w:val="0"/>
          <w:sz w:val="24"/>
        </w:rPr>
        <w:t>- Remove vegetation and debris around propane tanks.</w:t>
      </w:r>
    </w:p>
    <w:p>
      <w:pPr>
        <w:spacing w:line="240" w:lineRule="auto"/>
        <w:ind w:firstLine="432"/>
        <w:jc w:val="both"/>
      </w:pPr>
      <w:r>
        <w:rPr>
          <w:rFonts w:ascii="Times New Roman" w:hAnsi="Times New Roman" w:eastAsia="宋体"/>
          <w:b w:val="0"/>
          <w:sz w:val="24"/>
        </w:rPr>
        <w:t>For the latest fire weather information please visit USDA Forest Service website: http://activefiremaps.fs.fed.us/current.php</w:t>
      </w:r>
    </w:p>
    <w:p>
      <w:pPr>
        <w:spacing w:line="240" w:lineRule="auto"/>
        <w:ind w:firstLine="432"/>
        <w:jc w:val="both"/>
      </w:pPr>
      <w:r>
        <w:rPr>
          <w:rFonts w:ascii="Times New Roman" w:hAnsi="Times New Roman" w:eastAsia="宋体"/>
          <w:b w:val="0"/>
          <w:sz w:val="24"/>
        </w:rPr>
        <w:t>###</w:t>
      </w:r>
    </w:p>
    <w:p>
      <w:pPr>
        <w:spacing w:line="240" w:lineRule="auto"/>
        <w:ind w:firstLine="432"/>
        <w:jc w:val="both"/>
      </w:pPr>
      <w:r>
        <w:rPr>
          <w:rFonts w:ascii="Times New Roman" w:hAnsi="Times New Roman" w:eastAsia="宋体"/>
          <w:b w:val="0"/>
          <w:sz w:val="24"/>
        </w:rPr>
        <w:t>The Energy, Minerals and Natural Resources Department provides resource protection and renewable energy resource development services to the public and other state agencies.</w:t>
      </w:r>
    </w:p>
    <w:sectPr w:rsidR="00FC693F" w:rsidRPr="0006063C" w:rsidSect="00034616">
      <w:headerReference w:type="default" r:id="rId9"/>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David Catanach</w:t>
      <w:br/>
      <w:t>Division Director</w:t>
      <w:br/>
      <w:t>Oil Conservation Division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