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RULES</w:t>
      </w:r>
    </w:p>
    <w:p>
      <w:pPr>
        <w:spacing w:line="240" w:lineRule="auto"/>
        <w:ind w:firstLine="432"/>
        <w:jc w:val="both"/>
      </w:pPr>
      <w:r>
        <w:rPr>
          <w:rFonts w:ascii="Times New Roman" w:hAnsi="Times New Roman" w:eastAsia="宋体"/>
          <w:b w:val="0"/>
          <w:sz w:val="24"/>
        </w:rPr>
        <w:t>19.15.7.24 OPERATOR'S MONTHLY REPORT (Form C-115):</w:t>
      </w:r>
    </w:p>
    <w:p>
      <w:pPr>
        <w:spacing w:line="240" w:lineRule="auto"/>
        <w:ind w:firstLine="432"/>
        <w:jc w:val="both"/>
      </w:pPr>
      <w:r>
        <w:rPr>
          <w:rFonts w:ascii="Times New Roman" w:hAnsi="Times New Roman" w:eastAsia="宋体"/>
          <w:b w:val="0"/>
          <w:sz w:val="24"/>
        </w:rPr>
        <w:t>A. An operator shall file a form C-115 for each non-plugged well completion for which the division has approved a form C-104 and for each secondary or other enhanced recovery project or pressure maintenance project injection well or other injection well within the state, setting forth complete information and data indicated on the forms in the order, format and style the director prescribes. The operator shall estimate oil production from wells producing into common storage as accurately as possible on the basis of periodic tests.</w:t>
      </w:r>
    </w:p>
    <w:p>
      <w:pPr>
        <w:spacing w:line="240" w:lineRule="auto"/>
        <w:jc w:val="left"/>
      </w:pPr>
      <w:r>
        <w:rPr>
          <w:rFonts w:ascii="Times New Roman" w:hAnsi="Times New Roman" w:eastAsia="宋体"/>
          <w:b/>
          <w:sz w:val="28"/>
        </w:rPr>
        <w:t>19.15.18.12 CASINGHEAD GAS:</w:t>
      </w:r>
    </w:p>
    <w:p>
      <w:pPr>
        <w:spacing w:line="240" w:lineRule="auto"/>
        <w:ind w:firstLine="432"/>
        <w:jc w:val="both"/>
      </w:pPr>
      <w:r>
        <w:rPr>
          <w:rFonts w:ascii="Times New Roman" w:hAnsi="Times New Roman" w:eastAsia="宋体"/>
          <w:b w:val="0"/>
          <w:sz w:val="24"/>
        </w:rPr>
        <w:t>F. Pending connection of a well to a gas-gathering facility, or when a well has been excepted from the provisions of Subsection A of 19.15.18.12 NMAC, the operator shall burn all gas produced and not used, and report the estimated volume on form C-115.</w:t>
      </w:r>
    </w:p>
    <w:p>
      <w:pPr>
        <w:spacing w:line="240" w:lineRule="auto"/>
        <w:ind w:firstLine="432"/>
        <w:jc w:val="both"/>
      </w:pPr>
      <w:r>
        <w:rPr>
          <w:rFonts w:ascii="Times New Roman" w:hAnsi="Times New Roman" w:eastAsia="宋体"/>
          <w:b w:val="0"/>
          <w:sz w:val="24"/>
        </w:rPr>
        <w:t>Thank you for your assistance in this matter. If you have any questions please contact the appropriate OCD District Office.</w:t>
      </w:r>
    </w:p>
    <w:p>
      <w:pPr>
        <w:spacing w:line="240" w:lineRule="auto"/>
        <w:ind w:firstLine="432"/>
        <w:jc w:val="both"/>
      </w:pPr>
      <w:r>
        <w:rPr>
          <w:rFonts w:ascii="Times New Roman" w:hAnsi="Times New Roman" w:eastAsia="宋体"/>
          <w:b w:val="0"/>
          <w:sz w:val="24"/>
        </w:rPr>
        <w:t>Sincerely,</w:t>
      </w:r>
    </w:p>
    <w:p>
      <w:pPr>
        <w:jc w:val="center"/>
      </w:pPr>
      <w:r>
        <w:drawing>
          <wp:inline xmlns:a="http://schemas.openxmlformats.org/drawingml/2006/main" xmlns:pic="http://schemas.openxmlformats.org/drawingml/2006/picture">
            <wp:extent cx="1655812" cy="375255"/>
            <wp:docPr id="1" name="Picture 1"/>
            <wp:cNvGraphicFramePr>
              <a:graphicFrameLocks noChangeAspect="1"/>
            </wp:cNvGraphicFramePr>
            <a:graphic>
              <a:graphicData uri="http://schemas.openxmlformats.org/drawingml/2006/picture">
                <pic:pic>
                  <pic:nvPicPr>
                    <pic:cNvPr id="0" name="img_in_image_box_169_718_522_798.jpg"/>
                    <pic:cNvPicPr/>
                  </pic:nvPicPr>
                  <pic:blipFill>
                    <a:blip r:embed="rId9"/>
                    <a:stretch>
                      <a:fillRect/>
                    </a:stretch>
                  </pic:blipFill>
                  <pic:spPr>
                    <a:xfrm>
                      <a:off x="0" y="0"/>
                      <a:ext cx="1655812" cy="375255"/>
                    </a:xfrm>
                    <a:prstGeom prst="rect"/>
                  </pic:spPr>
                </pic:pic>
              </a:graphicData>
            </a:graphic>
          </wp:inline>
        </w:drawing>
      </w:r>
    </w:p>
    <w:p>
      <w:pPr>
        <w:spacing w:line="240" w:lineRule="auto"/>
        <w:ind w:firstLine="432"/>
        <w:jc w:val="both"/>
      </w:pPr>
      <w:r>
        <w:rPr>
          <w:rFonts w:ascii="Times New Roman" w:hAnsi="Times New Roman" w:eastAsia="宋体"/>
          <w:b w:val="0"/>
          <w:sz w:val="24"/>
        </w:rPr>
        <w:t>David R. Catanach</w:t>
      </w:r>
    </w:p>
    <w:p>
      <w:pPr>
        <w:spacing w:line="240" w:lineRule="auto"/>
        <w:ind w:firstLine="432"/>
        <w:jc w:val="both"/>
      </w:pPr>
      <w:r>
        <w:rPr>
          <w:rFonts w:ascii="Times New Roman" w:hAnsi="Times New Roman" w:eastAsia="宋体"/>
          <w:b w:val="0"/>
          <w:sz w:val="24"/>
        </w:rPr>
        <w:t>Director, Oil Conservation Division</w:t>
      </w:r>
    </w:p>
    <w:sectPr w:rsidR="00FC693F" w:rsidRPr="0006063C" w:rsidSect="00034616">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