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Catanach</w:t>
      </w:r>
    </w:p>
    <w:p>
      <w:pPr>
        <w:spacing w:line="240" w:lineRule="auto"/>
        <w:ind w:firstLine="432"/>
        <w:jc w:val="both"/>
      </w:pPr>
      <w:r>
        <w:rPr>
          <w:rFonts w:ascii="Times New Roman" w:hAnsi="Times New Roman" w:eastAsia="宋体"/>
          <w:b w:val="0"/>
          <w:sz w:val="24"/>
        </w:rPr>
        <w:t>Division Director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680149" cy="666077"/>
            <wp:docPr id="1" name="Picture 1"/>
            <wp:cNvGraphicFramePr>
              <a:graphicFrameLocks noChangeAspect="1"/>
            </wp:cNvGraphicFramePr>
            <a:graphic>
              <a:graphicData uri="http://schemas.openxmlformats.org/drawingml/2006/picture">
                <pic:pic>
                  <pic:nvPicPr>
                    <pic:cNvPr id="0" name="img_in_image_box_925_183_1070_325.jpg"/>
                    <pic:cNvPicPr/>
                  </pic:nvPicPr>
                  <pic:blipFill>
                    <a:blip r:embed="rId9"/>
                    <a:stretch>
                      <a:fillRect/>
                    </a:stretch>
                  </pic:blipFill>
                  <pic:spPr>
                    <a:xfrm>
                      <a:off x="0" y="0"/>
                      <a:ext cx="680149" cy="666077"/>
                    </a:xfrm>
                    <a:prstGeom prst="rect"/>
                  </pic:spPr>
                </pic:pic>
              </a:graphicData>
            </a:graphic>
          </wp:inline>
        </w:drawing>
      </w:r>
    </w:p>
    <w:p>
      <w:pPr>
        <w:spacing w:line="240" w:lineRule="auto"/>
        <w:ind w:firstLine="432"/>
        <w:jc w:val="both"/>
      </w:pPr>
      <w:r>
        <w:rPr>
          <w:rFonts w:ascii="Times New Roman" w:hAnsi="Times New Roman" w:eastAsia="宋体"/>
          <w:b w:val="0"/>
          <w:sz w:val="24"/>
        </w:rPr>
        <w:t>FOR IMMEDIATE RELEASE</w:t>
      </w:r>
    </w:p>
    <w:p>
      <w:pPr>
        <w:spacing w:line="240" w:lineRule="auto"/>
        <w:ind w:firstLine="432"/>
        <w:jc w:val="both"/>
      </w:pPr>
      <w:r>
        <w:rPr>
          <w:rFonts w:ascii="Times New Roman" w:hAnsi="Times New Roman" w:eastAsia="宋体"/>
          <w:b w:val="0"/>
          <w:sz w:val="24"/>
        </w:rPr>
        <w:t>Contact: Jim Winchester (505)231-8800 E-Mail: jim.winchester@state.nm.us</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SANTA FE, NM – The Oil Conservation Division (OCD) encourages all oil and gas facilities with flare stacks and well operators that are flaring gas to upgrade their Fire Awareness Programs this year. New Mexico State Forestry reports that 460 fires have burned 25,475 acres on state and private land in calendar year 2012.</w:t>
      </w:r>
    </w:p>
    <w:p>
      <w:pPr>
        <w:spacing w:line="240" w:lineRule="auto"/>
        <w:ind w:firstLine="432"/>
        <w:jc w:val="both"/>
      </w:pPr>
      <w:r>
        <w:rPr>
          <w:rFonts w:ascii="Times New Roman" w:hAnsi="Times New Roman" w:eastAsia="宋体"/>
          <w:b w:val="0"/>
          <w:sz w:val="24"/>
        </w:rPr>
        <w:t>Forecasts remain dismal this spring with fewer chances for normal precipitation, particularly in southwestern New Mexico and southeastern Arizona. Temperatures could also be higher than normal.</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During the course of the upcoming fire season, it may become necessary for New Mexico State Forestry to issue fire restriction on State and private land. Log on to  </w:t>
      </w:r>
      <w:r>
        <w:rPr>
          <w:rFonts w:ascii="Times New Roman" w:hAnsi="Times New Roman" w:eastAsia="宋体"/>
          <w:b w:val="0"/>
          <w:sz w:val="24"/>
        </w:rPr>
        <w:t>$ \underline{\text{www.nmforestry.com}} $</w:t>
      </w:r>
      <w:r>
        <w:rPr>
          <w:rFonts w:ascii="Times New Roman" w:hAnsi="Times New Roman" w:eastAsia="宋体"/>
          <w:b w:val="0"/>
          <w:sz w:val="24"/>
        </w:rPr>
        <w:t xml:space="preserve"> for updates or call your local district office.</w:t>
      </w:r>
    </w:p>
    <w:p>
      <w:pPr>
        <w:spacing w:line="240" w:lineRule="auto"/>
        <w:ind w:firstLine="432"/>
        <w:jc w:val="both"/>
      </w:pPr>
      <w:r>
        <w:rPr>
          <w:rFonts w:ascii="Times New Roman" w:hAnsi="Times New Roman" w:eastAsia="宋体"/>
          <w:b w:val="0"/>
          <w:sz w:val="24"/>
        </w:rPr>
        <w:t>New Mexico State Forestry offers the following guidelines for establishing effective defensible space:</w:t>
      </w:r>
    </w:p>
    <w:p>
      <w:pPr>
        <w:spacing w:line="240" w:lineRule="auto"/>
        <w:ind w:firstLine="432"/>
        <w:jc w:val="both"/>
      </w:pPr>
      <w:r>
        <w:rPr>
          <w:rFonts w:ascii="Times New Roman" w:hAnsi="Times New Roman" w:eastAsia="宋体"/>
          <w:b w:val="0"/>
          <w:sz w:val="24"/>
        </w:rPr>
        <w:t>- Create a “Lean, Clean and Green” firebreak area by removing flammable vegetation and growth within 30 feet of each structure. Single trees and shrubs may be retained if they are well spaced, pruned and placed so they avoid the spread of fire. Maintain an irrigation system for any vegetation near structures.</w:t>
      </w:r>
    </w:p>
    <w:p>
      <w:pPr>
        <w:spacing w:line="240" w:lineRule="auto"/>
        <w:ind w:firstLine="432"/>
        <w:jc w:val="both"/>
      </w:pPr>
      <w:r>
        <w:rPr>
          <w:rFonts w:ascii="Times New Roman" w:hAnsi="Times New Roman" w:eastAsia="宋体"/>
          <w:b w:val="0"/>
          <w:sz w:val="24"/>
        </w:rPr>
        <w:t>• Keep grass and weeds mowed.</w:t>
      </w:r>
    </w:p>
    <w:p>
      <w:pPr>
        <w:spacing w:line="240" w:lineRule="auto"/>
        <w:ind w:firstLine="432"/>
        <w:jc w:val="both"/>
      </w:pPr>
      <w:r>
        <w:rPr>
          <w:rFonts w:ascii="Times New Roman" w:hAnsi="Times New Roman" w:eastAsia="宋体"/>
          <w:b w:val="0"/>
          <w:sz w:val="24"/>
        </w:rPr>
        <w:t>• Prune lower tree limbs to at least 6 feet up to 15 feet (or lower 1/3 of branches on smaller trees).</w:t>
      </w:r>
    </w:p>
    <w:p>
      <w:pPr>
        <w:spacing w:line="240" w:lineRule="auto"/>
        <w:ind w:firstLine="432"/>
        <w:jc w:val="both"/>
      </w:pPr>
      <w:r>
        <w:rPr>
          <w:rFonts w:ascii="Times New Roman" w:hAnsi="Times New Roman" w:eastAsia="宋体"/>
          <w:b w:val="0"/>
          <w:sz w:val="24"/>
        </w:rPr>
        <w:t>- Remove vegetation and debris around propane tanks.</w:t>
      </w:r>
    </w:p>
    <w:p>
      <w:pPr>
        <w:spacing w:line="240" w:lineRule="auto"/>
        <w:ind w:firstLine="432"/>
        <w:jc w:val="both"/>
      </w:pPr>
      <w:r>
        <w:rPr>
          <w:rFonts w:ascii="Times New Roman" w:hAnsi="Times New Roman" w:eastAsia="宋体"/>
          <w:b w:val="0"/>
          <w:sz w:val="24"/>
        </w:rPr>
        <w:t>For the latest fire weather information please visit USDA Forest Service website: http://activefiremaps.fs.fed.us/current.php</w:t>
      </w:r>
    </w:p>
    <w:p>
      <w:pPr>
        <w:spacing w:line="240" w:lineRule="auto"/>
        <w:ind w:firstLine="432"/>
        <w:jc w:val="both"/>
      </w:pP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t>The Energy, Minerals and Natural Resources Department provides resource protection and renewable energy resource development services to the public and other state agencies.</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