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ind w:firstLine="432"/>
        <w:jc w:val="both"/>
      </w:pPr>
      <w:r>
        <w:rPr>
          <w:rFonts w:ascii="Times New Roman" w:hAnsi="Times New Roman" w:eastAsia="宋体"/>
          <w:b w:val="0"/>
          <w:sz w:val="24"/>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on the basis of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p>
      <w:pPr>
        <w:spacing w:line="240" w:lineRule="auto"/>
        <w:ind w:firstLine="432"/>
        <w:jc w:val="both"/>
      </w:pPr>
      <w:r>
        <w:rPr>
          <w:rFonts w:ascii="Times New Roman" w:hAnsi="Times New Roman" w:eastAsia="宋体"/>
          <w:b w:val="0"/>
          <w:sz w:val="24"/>
        </w:rPr>
        <w:t>Sincerely,</w:t>
      </w:r>
    </w:p>
    <w:p>
      <w:pPr>
        <w:jc w:val="center"/>
      </w:pPr>
      <w:r>
        <w:drawing>
          <wp:inline xmlns:a="http://schemas.openxmlformats.org/drawingml/2006/main" xmlns:pic="http://schemas.openxmlformats.org/drawingml/2006/picture">
            <wp:extent cx="1665194" cy="379946"/>
            <wp:docPr id="1" name="Picture 1"/>
            <wp:cNvGraphicFramePr>
              <a:graphicFrameLocks noChangeAspect="1"/>
            </wp:cNvGraphicFramePr>
            <a:graphic>
              <a:graphicData uri="http://schemas.openxmlformats.org/drawingml/2006/picture">
                <pic:pic>
                  <pic:nvPicPr>
                    <pic:cNvPr id="0" name="img_in_image_box_165_714_520_795.jpg"/>
                    <pic:cNvPicPr/>
                  </pic:nvPicPr>
                  <pic:blipFill>
                    <a:blip r:embed="rId9"/>
                    <a:stretch>
                      <a:fillRect/>
                    </a:stretch>
                  </pic:blipFill>
                  <pic:spPr>
                    <a:xfrm>
                      <a:off x="0" y="0"/>
                      <a:ext cx="1665194" cy="379946"/>
                    </a:xfrm>
                    <a:prstGeom prst="rect"/>
                  </pic:spPr>
                </pic:pic>
              </a:graphicData>
            </a:graphic>
          </wp:inline>
        </w:drawing>
      </w:r>
    </w:p>
    <w:p>
      <w:pPr>
        <w:spacing w:line="240" w:lineRule="auto"/>
        <w:ind w:firstLine="432"/>
        <w:jc w:val="both"/>
      </w:pPr>
      <w:r>
        <w:rPr>
          <w:rFonts w:ascii="Times New Roman" w:hAnsi="Times New Roman" w:eastAsia="宋体"/>
          <w:b w:val="0"/>
          <w:sz w:val="24"/>
        </w:rPr>
        <w:t>David R. Catanach</w:t>
      </w:r>
    </w:p>
    <w:p>
      <w:pPr>
        <w:spacing w:line="240" w:lineRule="auto"/>
        <w:ind w:firstLine="432"/>
        <w:jc w:val="both"/>
      </w:pPr>
      <w:r>
        <w:rPr>
          <w:rFonts w:ascii="Times New Roman" w:hAnsi="Times New Roman" w:eastAsia="宋体"/>
          <w:b w:val="0"/>
          <w:sz w:val="24"/>
        </w:rPr>
        <w:t>Director, Oil Conservation Division</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