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Scale = 1 500; TVD v. VS @azl 270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  <w:gridCol w:w="373"/>
      </w:tblGrid>
      <w:tr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Scale = 1 500; TVD v. VS @azl 270</w:t>
            </w:r>
          </w:p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</w:tr>
      <w:tr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-500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1000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1500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2000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2500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3000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3500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4000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4500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5000</w:t>
            </w:r>
          </w:p>
        </w:tc>
      </w:tr>
      <w:tr>
        <w:tc>
          <w:tcPr>
            <w:tcW w:type="dxa" w:w="373"/>
          </w:tcPr>
          <w:p/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373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  <w:tc>
          <w:tcPr>
            <w:tcW w:type="dxa" w:w="373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Cold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Jericho BKJ State Corn 2H</w:t>
            </w:r>
          </w:p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No.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MTD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GL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TMD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ZAG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TMD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TMD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VS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+NS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+EW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BIK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Wks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DLS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Estimates</w:t>
            </w:r>
          </w:p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700.04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TOS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Castile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700.04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200.04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700.04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TOS</w:t>
            </w:r>
          </w:p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-1000</w:t>
            </w:r>
          </w:p>
        </w:tc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2100.00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1399.96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2100.00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BOS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2280.10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2280.10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2280.10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3560.01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770.01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3050.01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4179.99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1129.99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4179.99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-500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5530.00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1350.01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360.00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5530.00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Brushy Canyon Marker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8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5647.54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-1.59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KOP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5700.00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5246.46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8.29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5699.49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2.88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-2.88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5802.76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155.23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18.62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5800.04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Bone Springs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5900.00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97.24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30.30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5888.40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65.19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-65.19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12.01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-2000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54.30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6035.26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198.80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-198.80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6300.00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78.30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6115.08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380.89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-380.89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6397.53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750.00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477.46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-477.46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EQC</w:t>
            </w:r>
          </w:p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-2200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15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6700.00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302.47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16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-1279.93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-2500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17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7700.00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-1779.93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18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8200.00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19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8700.00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-2779.93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-3279.93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/>
        </w:tc>
      </w:tr>
      <w:tr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-3000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3050.01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22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10200.00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500.00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-3779.93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</w:tr>
      <w:tr>
        <w:tc>
          <w:tcPr>
            <w:tcW w:type="dxa" w:w="475"/>
          </w:tcPr>
          <w:p/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23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10200.07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3802.54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270.00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6125.01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4290.00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0.01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-4290.00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0.00</w:t>
            </w:r>
          </w:p>
        </w:tc>
        <w:tc>
          <w:tcPr>
            <w:tcW w:type="dxa" w:w="475"/>
          </w:tcPr>
          <w:p>
            <w:r>
              <w:rPr>
                <w:rFonts w:ascii="Times New Roman" w:hAnsi="Times New Roman" w:eastAsia="宋体"/>
                <w:sz w:val="24"/>
              </w:rPr>
              <w:t>EOL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</w:tblGrid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3500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4000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4179.99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Brusley Canyon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4500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5000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5500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5530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Brusley Canyon Marker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/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5847.54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KOP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/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5800.04</w:t>
            </w:r>
          </w:p>
        </w:tc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Bone Springs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6000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  <w:tr>
        <w:tc>
          <w:tcPr>
            <w:tcW w:type="dxa" w:w="441"/>
          </w:tcPr>
          <w:p>
            <w:r>
              <w:rPr>
                <w:rFonts w:ascii="Times New Roman" w:hAnsi="Times New Roman" w:eastAsia="宋体"/>
                <w:sz w:val="24"/>
              </w:rPr>
              <w:t>6500</w:t>
            </w:r>
          </w:p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  <w:tc>
          <w:tcPr>
            <w:tcW w:type="dxa" w:w="441"/>
          </w:tcPr>
          <w:p/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Scale = 1:500; +N/S- v. +EW-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SuRF ©2007-2009 Trant Logistics, LLC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+EW</w:t>
    </w:r>
  </w:p>
  <w:p>
    <w:pPr>
      <w:jc w:val="center"/>
    </w:pPr>
    <w:r>
      <w:rPr>
        <w:rFonts w:ascii="Times New Roman" w:hAnsi="Times New Roman" w:eastAsia="宋体"/>
      </w:rPr>
      <w:t>www.tantlogistics.com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http://www.YOURWEBSITE.com</w:t>
    </w:r>
  </w:p>
  <w:p>
    <w:pPr>
      <w:jc w:val="center"/>
    </w:pPr>
    <w:r>
      <w:rPr>
        <w:rFonts w:ascii="Times New Roman" w:hAnsi="Times New Roman" w:eastAsia="宋体"/>
      </w:rPr>
      <w:t>Trant Logistics,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