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Standard Plugging Conditions</w:t>
      </w:r>
    </w:p>
    <w:p>
      <w:pPr>
        <w:spacing w:line="240" w:lineRule="auto"/>
        <w:ind w:firstLine="432"/>
        <w:jc w:val="both"/>
      </w:pPr>
      <w:r>
        <w:rPr>
          <w:rFonts w:ascii="Times New Roman" w:hAnsi="Times New Roman" w:eastAsia="宋体"/>
          <w:b w:val="0"/>
          <w:sz w:val="24"/>
        </w:rPr>
        <w:t>This document provides OCD's general plugging conditions of approval. It should be noted that the list below may not cover special plugging programs in unique and unusual cases, and OCD expressly reserves the right to impose additional requirements to the extent dictated by project conditions. The OCD also reserves the right to approve deviations from the below conditions if field conditions warrant a change. A C-103F NOI to P&amp;A must be approved prior to plugging operations. Failure to comply with the conditions attached to a plugging approval may result in a violation of 19.15.5.11 NMAC, which may result in enforcement actions, including but not limited to penalties and a requirement that the well be re-plugged as necessary.</w:t>
      </w:r>
    </w:p>
    <w:p>
      <w:pPr>
        <w:spacing w:line="240" w:lineRule="auto"/>
        <w:ind w:firstLine="432"/>
        <w:jc w:val="both"/>
      </w:pPr>
      <w:r>
        <w:rPr>
          <w:rFonts w:ascii="Times New Roman" w:hAnsi="Times New Roman" w:eastAsia="宋体"/>
          <w:b w:val="0"/>
          <w:sz w:val="24"/>
        </w:rPr>
        <w:t>1. Notify OCD office at least 24 hours before beginning work and seek prior approval to implementing any changes to the C-103 NOI to PA.</w:t>
      </w:r>
    </w:p>
    <w:p>
      <w:pPr>
        <w:spacing w:line="240" w:lineRule="auto"/>
        <w:ind w:firstLine="432"/>
        <w:jc w:val="both"/>
      </w:pPr>
      <w:r>
        <w:rPr>
          <w:rFonts w:ascii="Times New Roman" w:hAnsi="Times New Roman" w:eastAsia="宋体"/>
          <w:b w:val="0"/>
          <w:sz w:val="24"/>
        </w:rPr>
        <w:t>• North Contact.</w:t>
      </w:r>
    </w:p>
    <w:p>
      <w:pPr>
        <w:spacing w:line="240" w:lineRule="auto"/>
        <w:ind w:firstLine="432"/>
        <w:jc w:val="both"/>
      </w:pPr>
      <w:r>
        <w:rPr>
          <w:rFonts w:ascii="Times New Roman" w:hAnsi="Times New Roman" w:eastAsia="宋体"/>
          <w:b w:val="0"/>
          <w:sz w:val="24"/>
        </w:rPr>
        <w:t>South Contact, Gilbert Cordero, 575-626-0830, gilbert.cordero@emnrd.nm.gov</w:t>
      </w:r>
    </w:p>
    <w:p>
      <w:pPr>
        <w:spacing w:line="240" w:lineRule="auto"/>
        <w:ind w:firstLine="432"/>
        <w:jc w:val="both"/>
      </w:pPr>
      <w:r>
        <w:rPr>
          <w:rFonts w:ascii="Times New Roman" w:hAnsi="Times New Roman" w:eastAsia="宋体"/>
          <w:b w:val="0"/>
          <w:sz w:val="24"/>
        </w:rPr>
        <w:t>2. A Cement Bond Log is required to ensure strata isolation of producing formations, protection of water and correlative rights. A CBL must be run or be on file that can be used to properly evaluate the cement behind the casing.</w:t>
      </w:r>
    </w:p>
    <w:p>
      <w:pPr>
        <w:spacing w:line="240" w:lineRule="auto"/>
        <w:ind w:firstLine="432"/>
        <w:jc w:val="both"/>
      </w:pPr>
      <w:r>
        <w:rPr>
          <w:rFonts w:ascii="Times New Roman" w:hAnsi="Times New Roman" w:eastAsia="宋体"/>
          <w:b w:val="0"/>
          <w:sz w:val="24"/>
        </w:rPr>
        <w:t>Note: Logs must be submitted to OCD via OCD permitting. A copy of the log may be emailed to OCD inspector for faster review times, but emailing does not relieve the operators obligation to submit through OCD permitting.</w:t>
      </w:r>
    </w:p>
    <w:p>
      <w:pPr>
        <w:spacing w:line="240" w:lineRule="auto"/>
        <w:ind w:firstLine="432"/>
        <w:jc w:val="both"/>
      </w:pPr>
      <w:r>
        <w:rPr>
          <w:rFonts w:ascii="Times New Roman" w:hAnsi="Times New Roman" w:eastAsia="宋体"/>
          <w:b w:val="0"/>
          <w:sz w:val="24"/>
        </w:rPr>
        <w:t>3. Once Plugging operations have commenced, the rig must not rig down until the well is fully plugged without OCD approval. If gap in plugging operations exceeds 30 days, the Operator must file a subsequent sundry of work performed and revised NOI for approval on work remaining. At no time shall the rig be removed from location if it will result in waste or contamination of fresh water.</w:t>
      </w:r>
    </w:p>
    <w:p>
      <w:pPr>
        <w:spacing w:line="240" w:lineRule="auto"/>
        <w:ind w:firstLine="432"/>
        <w:jc w:val="both"/>
      </w:pPr>
      <w:r>
        <w:rPr>
          <w:rFonts w:ascii="Times New Roman" w:hAnsi="Times New Roman" w:eastAsia="宋体"/>
          <w:b w:val="0"/>
          <w:sz w:val="24"/>
        </w:rPr>
        <w:t>4. Insure all bradenheads have been exposed, identified and valves are operational prior to rig up.</w:t>
      </w:r>
    </w:p>
    <w:p>
      <w:pPr>
        <w:spacing w:line="240" w:lineRule="auto"/>
        <w:ind w:firstLine="432"/>
        <w:jc w:val="both"/>
      </w:pPr>
      <w:r>
        <w:rPr>
          <w:rFonts w:ascii="Times New Roman" w:hAnsi="Times New Roman" w:eastAsia="宋体"/>
          <w:b w:val="0"/>
          <w:sz w:val="24"/>
        </w:rPr>
        <w:t>5. Fluids must be placed between all cement plugs mixed at 25 sacks per 100 bbls of water.</w:t>
      </w:r>
    </w:p>
    <w:p>
      <w:pPr>
        <w:spacing w:line="240" w:lineRule="auto"/>
        <w:ind w:firstLine="432"/>
        <w:jc w:val="both"/>
      </w:pPr>
      <w:r>
        <w:rPr>
          <w:rFonts w:ascii="Times New Roman" w:hAnsi="Times New Roman" w:eastAsia="宋体"/>
          <w:b w:val="0"/>
          <w:sz w:val="24"/>
        </w:rPr>
        <w:t>• North, water or mud laden fluids</w:t>
      </w:r>
    </w:p>
    <w:p>
      <w:pPr>
        <w:spacing w:line="240" w:lineRule="auto"/>
        <w:ind w:firstLine="432"/>
        <w:jc w:val="both"/>
      </w:pPr>
      <w:r>
        <w:rPr>
          <w:rFonts w:ascii="Times New Roman" w:hAnsi="Times New Roman" w:eastAsia="宋体"/>
          <w:b w:val="0"/>
          <w:sz w:val="24"/>
        </w:rPr>
        <w:t>• South, mud laden fluids</w:t>
      </w:r>
    </w:p>
    <w:p>
      <w:pPr>
        <w:spacing w:line="240" w:lineRule="auto"/>
        <w:ind w:firstLine="432"/>
        <w:jc w:val="both"/>
      </w:pPr>
      <w:r>
        <w:rPr>
          <w:rFonts w:ascii="Times New Roman" w:hAnsi="Times New Roman" w:eastAsia="宋体"/>
          <w:b w:val="0"/>
          <w:sz w:val="24"/>
        </w:rPr>
        <w:t>6. Closed loop system is to be used for entire plugging operation. Upon completion, contents of steel pits are to be hauled to an OCD permitted disposal facility.</w:t>
      </w:r>
    </w:p>
    <w:p>
      <w:pPr>
        <w:spacing w:line="240" w:lineRule="auto"/>
        <w:ind w:firstLine="432"/>
        <w:jc w:val="both"/>
      </w:pPr>
      <w:r>
        <w:rPr>
          <w:rFonts w:ascii="Times New Roman" w:hAnsi="Times New Roman" w:eastAsia="宋体"/>
          <w:b w:val="0"/>
          <w:sz w:val="24"/>
        </w:rPr>
        <w:t>7. Class of cement shall be used in accordance with the below table for depth allowed.</w:t>
      </w:r>
    </w:p>
    <w:tbl>
      <w:tblPr>
        <w:tblStyle w:val="TableGrid"/>
        <w:tblW w:type="auto" w:w="0"/>
        <w:tblLook w:firstColumn="1" w:firstRow="1" w:lastColumn="0" w:lastRow="0" w:noHBand="0" w:noVBand="1" w:val="04A0"/>
      </w:tblPr>
      <w:tblGrid>
        <w:gridCol w:w="2131"/>
        <w:gridCol w:w="2131"/>
      </w:tblGrid>
      <w:tr>
        <w:tc>
          <w:tcPr>
            <w:tcW w:type="dxa" w:w="2131"/>
          </w:tcPr>
          <w:p>
            <w:r>
              <w:rPr>
                <w:rFonts w:ascii="Times New Roman" w:hAnsi="Times New Roman" w:eastAsia="宋体"/>
                <w:sz w:val="24"/>
              </w:rPr>
              <w:t>Class</w:t>
            </w:r>
          </w:p>
        </w:tc>
        <w:tc>
          <w:tcPr>
            <w:tcW w:type="dxa" w:w="2131"/>
          </w:tcPr>
          <w:p>
            <w:r>
              <w:rPr>
                <w:rFonts w:ascii="Times New Roman" w:hAnsi="Times New Roman" w:eastAsia="宋体"/>
                <w:sz w:val="24"/>
              </w:rPr>
              <w:t>TVD Lower Limit (feet)</w:t>
            </w:r>
          </w:p>
        </w:tc>
      </w:tr>
      <w:tr>
        <w:tc>
          <w:tcPr>
            <w:tcW w:type="dxa" w:w="2131"/>
          </w:tcPr>
          <w:p>
            <w:r>
              <w:rPr>
                <w:rFonts w:ascii="Times New Roman" w:hAnsi="Times New Roman" w:eastAsia="宋体"/>
                <w:sz w:val="24"/>
              </w:rPr>
              <w:t>Class A/B</w:t>
            </w:r>
          </w:p>
        </w:tc>
        <w:tc>
          <w:tcPr>
            <w:tcW w:type="dxa" w:w="2131"/>
          </w:tcPr>
          <w:p>
            <w:r>
              <w:rPr>
                <w:rFonts w:ascii="Times New Roman" w:hAnsi="Times New Roman" w:eastAsia="宋体"/>
                <w:sz w:val="24"/>
              </w:rPr>
              <w:t>6,000</w:t>
            </w:r>
          </w:p>
        </w:tc>
      </w:tr>
      <w:tr>
        <w:tc>
          <w:tcPr>
            <w:tcW w:type="dxa" w:w="2131"/>
          </w:tcPr>
          <w:p>
            <w:r>
              <w:rPr>
                <w:rFonts w:ascii="Times New Roman" w:hAnsi="Times New Roman" w:eastAsia="宋体"/>
                <w:sz w:val="24"/>
              </w:rPr>
              <w:t>Class I/II</w:t>
            </w:r>
          </w:p>
        </w:tc>
        <w:tc>
          <w:tcPr>
            <w:tcW w:type="dxa" w:w="2131"/>
          </w:tcPr>
          <w:p>
            <w:r>
              <w:rPr>
                <w:rFonts w:ascii="Times New Roman" w:hAnsi="Times New Roman" w:eastAsia="宋体"/>
                <w:sz w:val="24"/>
              </w:rPr>
              <w:t>6,000</w:t>
            </w:r>
          </w:p>
        </w:tc>
      </w:tr>
      <w:tr>
        <w:tc>
          <w:tcPr>
            <w:tcW w:type="dxa" w:w="2131"/>
          </w:tcPr>
          <w:p>
            <w:r>
              <w:rPr>
                <w:rFonts w:ascii="Times New Roman" w:hAnsi="Times New Roman" w:eastAsia="宋体"/>
                <w:sz w:val="24"/>
              </w:rPr>
              <w:t>Class C or III</w:t>
            </w:r>
          </w:p>
        </w:tc>
        <w:tc>
          <w:tcPr>
            <w:tcW w:type="dxa" w:w="2131"/>
          </w:tcPr>
          <w:p>
            <w:r>
              <w:rPr>
                <w:rFonts w:ascii="Times New Roman" w:hAnsi="Times New Roman" w:eastAsia="宋体"/>
                <w:sz w:val="24"/>
              </w:rPr>
              <w:t>6,000</w:t>
            </w:r>
          </w:p>
        </w:tc>
      </w:tr>
      <w:tr>
        <w:tc>
          <w:tcPr>
            <w:tcW w:type="dxa" w:w="2131"/>
          </w:tcPr>
          <w:p>
            <w:r>
              <w:rPr>
                <w:rFonts w:ascii="Times New Roman" w:hAnsi="Times New Roman" w:eastAsia="宋体"/>
                <w:sz w:val="24"/>
              </w:rPr>
              <w:t>Class G and H</w:t>
            </w:r>
          </w:p>
        </w:tc>
        <w:tc>
          <w:tcPr>
            <w:tcW w:type="dxa" w:w="2131"/>
          </w:tcPr>
          <w:p>
            <w:r>
              <w:rPr>
                <w:rFonts w:ascii="Times New Roman" w:hAnsi="Times New Roman" w:eastAsia="宋体"/>
                <w:sz w:val="24"/>
              </w:rPr>
              <w:t>8,000</w:t>
            </w:r>
          </w:p>
        </w:tc>
      </w:tr>
      <w:tr>
        <w:tc>
          <w:tcPr>
            <w:tcW w:type="dxa" w:w="2131"/>
          </w:tcPr>
          <w:p>
            <w:r>
              <w:rPr>
                <w:rFonts w:ascii="Times New Roman" w:hAnsi="Times New Roman" w:eastAsia="宋体"/>
                <w:sz w:val="24"/>
              </w:rPr>
              <w:t>Class D</w:t>
            </w:r>
          </w:p>
        </w:tc>
        <w:tc>
          <w:tcPr>
            <w:tcW w:type="dxa" w:w="2131"/>
          </w:tcPr>
          <w:p>
            <w:r>
              <w:rPr>
                <w:rFonts w:ascii="Times New Roman" w:hAnsi="Times New Roman" w:eastAsia="宋体"/>
                <w:sz w:val="24"/>
              </w:rPr>
              <w:t>10,000</w:t>
            </w:r>
          </w:p>
        </w:tc>
      </w:tr>
    </w:tbl>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3 of 22</w:t>
    </w:r>
  </w:p>
  <w:p>
    <w:pPr>
      <w:jc w:val="center"/>
    </w:pPr>
    <w:r>
      <w:rPr>
        <w:rFonts w:ascii="Times New Roman" w:hAnsi="Times New Roman" w:eastAsia="宋体"/>
      </w:rPr>
      <w:t>Released to Imaging: 5/20/2026 1:11:31 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4/23/2026 11:06:25 AM</w:t>
    </w:r>
  </w:p>
  <w:p>
    <w:pPr>
      <w:jc w:val="left"/>
    </w:pPr>
    <w:r>
      <w:drawing>
        <wp:inline xmlns:a="http://schemas.openxmlformats.org/drawingml/2006/main" xmlns:pic="http://schemas.openxmlformats.org/drawingml/2006/picture">
          <wp:extent cx="515132" cy="435521"/>
          <wp:docPr id="1" name="Picture 1"/>
          <wp:cNvGraphicFramePr>
            <a:graphicFrameLocks noChangeAspect="1"/>
          </wp:cNvGraphicFramePr>
          <a:graphic>
            <a:graphicData uri="http://schemas.openxmlformats.org/drawingml/2006/picture">
              <pic:pic>
                <pic:nvPicPr>
                  <pic:cNvPr id="0" name="img_in_header_image_box_986_53_1096_146.jpg"/>
                  <pic:cNvPicPr/>
                </pic:nvPicPr>
                <pic:blipFill>
                  <a:blip r:embed="rId1"/>
                  <a:stretch>
                    <a:fillRect/>
                  </a:stretch>
                </pic:blipFill>
                <pic:spPr>
                  <a:xfrm>
                    <a:off x="0" y="0"/>
                    <a:ext cx="515132" cy="43552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