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2131"/>
        <w:gridCol w:w="2131"/>
      </w:tblGrid>
      <w:tr>
        <w:tc>
          <w:tcPr>
            <w:tcW w:type="dxa" w:w="2131"/>
          </w:tcPr>
          <w:p>
            <w:r>
              <w:rPr>
                <w:rFonts w:ascii="Times New Roman" w:hAnsi="Times New Roman" w:eastAsia="宋体"/>
                <w:sz w:val="24"/>
              </w:rPr>
              <w:t>Class E</w:t>
            </w:r>
          </w:p>
        </w:tc>
        <w:tc>
          <w:tcPr>
            <w:tcW w:type="dxa" w:w="2131"/>
          </w:tcPr>
          <w:p>
            <w:r>
              <w:rPr>
                <w:rFonts w:ascii="Times New Roman" w:hAnsi="Times New Roman" w:eastAsia="宋体"/>
                <w:sz w:val="24"/>
              </w:rPr>
              <w:t>14,000</w:t>
            </w:r>
          </w:p>
        </w:tc>
      </w:tr>
      <w:tr>
        <w:tc>
          <w:tcPr>
            <w:tcW w:type="dxa" w:w="2131"/>
          </w:tcPr>
          <w:p>
            <w:r>
              <w:rPr>
                <w:rFonts w:ascii="Times New Roman" w:hAnsi="Times New Roman" w:eastAsia="宋体"/>
                <w:sz w:val="24"/>
              </w:rPr>
              <w:t>Class F</w:t>
            </w:r>
          </w:p>
        </w:tc>
        <w:tc>
          <w:tcPr>
            <w:tcW w:type="dxa" w:w="2131"/>
          </w:tcPr>
          <w:p>
            <w:r>
              <w:rPr>
                <w:rFonts w:ascii="Times New Roman" w:hAnsi="Times New Roman" w:eastAsia="宋体"/>
                <w:sz w:val="24"/>
              </w:rPr>
              <w:t>16,000</w:t>
            </w:r>
          </w:p>
        </w:tc>
      </w:tr>
    </w:tbl>
    <w:p>
      <w:pPr>
        <w:spacing w:line="240" w:lineRule="auto"/>
        <w:ind w:firstLine="432"/>
        <w:jc w:val="both"/>
      </w:pPr>
      <w:r>
        <w:rPr>
          <w:rFonts w:ascii="Times New Roman" w:hAnsi="Times New Roman" w:eastAsia="宋体"/>
          <w:b w:val="0"/>
          <w:sz w:val="24"/>
        </w:rPr>
        <w:t>8. After cutting the well head any “top off cement jobs” must remain static for 30 minutes. Any gas bubbles or flow during this 30 minutes shall be reported to the OCD for approval of next steps.</w:t>
      </w:r>
    </w:p>
    <w:p>
      <w:pPr>
        <w:spacing w:line="240" w:lineRule="auto"/>
        <w:ind w:firstLine="432"/>
        <w:jc w:val="both"/>
      </w:pPr>
      <w:r>
        <w:rPr>
          <w:rFonts w:ascii="Times New Roman" w:hAnsi="Times New Roman" w:eastAsia="宋体"/>
          <w:b w:val="0"/>
          <w:sz w:val="24"/>
        </w:rPr>
        <w:t>9. Trucking companies being used to haul oilfield waste fluids (Commercial or Private) to a disposal facility shall have an approved OCD C-133 permit.</w:t>
      </w:r>
    </w:p>
    <w:p>
      <w:pPr>
        <w:spacing w:line="240" w:lineRule="auto"/>
        <w:ind w:firstLine="432"/>
        <w:jc w:val="both"/>
      </w:pPr>
      <w:r>
        <w:rPr>
          <w:rFonts w:ascii="Times New Roman" w:hAnsi="Times New Roman" w:eastAsia="宋体"/>
          <w:b w:val="0"/>
          <w:sz w:val="24"/>
        </w:rPr>
        <w:t>- A copy of this permit shall be available in each truck used to haul waste products.</w:t>
      </w:r>
    </w:p>
    <w:p>
      <w:pPr>
        <w:spacing w:line="240" w:lineRule="auto"/>
        <w:ind w:firstLine="432"/>
        <w:jc w:val="both"/>
      </w:pPr>
      <w:r>
        <w:rPr>
          <w:rFonts w:ascii="Times New Roman" w:hAnsi="Times New Roman" w:eastAsia="宋体"/>
          <w:b w:val="0"/>
          <w:sz w:val="24"/>
        </w:rPr>
        <w:t>It is the responsibility of the Operator and Contractor to verify that this permit is in place prior to performing work.</w:t>
      </w:r>
    </w:p>
    <w:p>
      <w:pPr>
        <w:spacing w:line="240" w:lineRule="auto"/>
        <w:ind w:firstLine="432"/>
        <w:jc w:val="both"/>
      </w:pPr>
      <w:r>
        <w:rPr>
          <w:rFonts w:ascii="Times New Roman" w:hAnsi="Times New Roman" w:eastAsia="宋体"/>
          <w:b w:val="0"/>
          <w:sz w:val="24"/>
        </w:rPr>
        <w:t>Drivers shall be able to produce a copy upon request of an OCD Compliance Officer.</w:t>
      </w:r>
    </w:p>
    <w:p>
      <w:pPr>
        <w:spacing w:line="240" w:lineRule="auto"/>
        <w:ind w:firstLine="432"/>
        <w:jc w:val="both"/>
      </w:pPr>
      <w:r>
        <w:rPr>
          <w:rFonts w:ascii="Times New Roman" w:hAnsi="Times New Roman" w:eastAsia="宋体"/>
          <w:b w:val="0"/>
          <w:sz w:val="24"/>
        </w:rPr>
        <w:t>10. Filing a [C-103] Sub. Plugging (C-103P) will serve as notification that the well has been plugged.</w:t>
      </w:r>
    </w:p>
    <w:p>
      <w:pPr>
        <w:spacing w:line="240" w:lineRule="auto"/>
        <w:ind w:firstLine="432"/>
        <w:jc w:val="both"/>
      </w:pPr>
      <w:r>
        <w:rPr>
          <w:rFonts w:ascii="Times New Roman" w:hAnsi="Times New Roman" w:eastAsia="宋体"/>
          <w:b w:val="0"/>
          <w:sz w:val="24"/>
        </w:rPr>
        <w:t>11. A [C-103] Sub. Release After P&amp;A (C-103Q) shall be filed no later than a year after plugging and a site inspection by OCD Compliance officer to determine if the location is satisfactorily cleaned, all equipment, electric poles and trash has been removed to meet OCD standards before bonding can be released.</w:t>
      </w:r>
    </w:p>
    <w:p>
      <w:pPr>
        <w:spacing w:line="240" w:lineRule="auto"/>
        <w:ind w:firstLine="432"/>
        <w:jc w:val="both"/>
      </w:pPr>
      <w:r>
        <w:rPr>
          <w:rFonts w:ascii="Times New Roman" w:hAnsi="Times New Roman" w:eastAsia="宋体"/>
          <w:b w:val="0"/>
          <w:sz w:val="24"/>
        </w:rPr>
        <w:t>12. Produced water or brine-based fluids may not be used during any part of plugging operations without prior OCD approval.</w:t>
      </w:r>
    </w:p>
    <w:p>
      <w:pPr>
        <w:spacing w:line="240" w:lineRule="auto"/>
        <w:ind w:firstLine="432"/>
        <w:jc w:val="both"/>
      </w:pPr>
      <w:r>
        <w:rPr>
          <w:rFonts w:ascii="Times New Roman" w:hAnsi="Times New Roman" w:eastAsia="宋体"/>
          <w:b w:val="0"/>
          <w:sz w:val="24"/>
        </w:rPr>
        <w:t>13. Cementing;</w:t>
      </w:r>
    </w:p>
    <w:p>
      <w:pPr>
        <w:spacing w:line="240" w:lineRule="auto"/>
        <w:ind w:firstLine="432"/>
        <w:jc w:val="both"/>
      </w:pPr>
      <w:r>
        <w:rPr>
          <w:rFonts w:ascii="Times New Roman" w:hAnsi="Times New Roman" w:eastAsia="宋体"/>
          <w:b w:val="0"/>
          <w:sz w:val="24"/>
        </w:rPr>
        <w:t>- All cement plugs will be neat cement and a minimum of 100' in length. 50' of calculated cement excess required for inside casing plugs and 100% calculated cement excess required on outside casing plugs.</w:t>
      </w:r>
    </w:p>
    <w:p>
      <w:pPr>
        <w:spacing w:line="240" w:lineRule="auto"/>
        <w:ind w:firstLine="432"/>
        <w:jc w:val="both"/>
      </w:pPr>
      <w:r>
        <w:rPr>
          <w:rFonts w:ascii="Times New Roman" w:hAnsi="Times New Roman" w:eastAsia="宋体"/>
          <w:b w:val="0"/>
          <w:sz w:val="24"/>
        </w:rPr>
        <w:t>If cement does not exist between or behind the casing strings at recommended formation depths, the casing perforations will be shot at 50' below the formation top and the cement retainer shall be set no more than 50' from the perforations.</w:t>
      </w:r>
    </w:p>
    <w:p>
      <w:pPr>
        <w:spacing w:line="240" w:lineRule="auto"/>
        <w:ind w:firstLine="432"/>
        <w:jc w:val="both"/>
      </w:pPr>
      <w:r>
        <w:rPr>
          <w:rFonts w:ascii="Times New Roman" w:hAnsi="Times New Roman" w:eastAsia="宋体"/>
          <w:b w:val="0"/>
          <w:sz w:val="24"/>
        </w:rPr>
        <w:t>WOC (Wait on Cement) time will be:</w:t>
      </w:r>
    </w:p>
    <w:p>
      <w:pPr>
        <w:spacing w:line="240" w:lineRule="auto"/>
        <w:ind w:firstLine="432"/>
        <w:jc w:val="both"/>
      </w:pPr>
      <w:r>
        <w:rPr>
          <w:rFonts w:ascii="Times New Roman" w:hAnsi="Times New Roman" w:eastAsia="宋体"/>
          <w:b w:val="0"/>
          <w:sz w:val="24"/>
        </w:rPr>
        <w:t>○ 4 hours for accelerated (calcium chloride) cement.</w:t>
      </w:r>
    </w:p>
    <w:p>
      <w:pPr>
        <w:spacing w:line="240" w:lineRule="auto"/>
        <w:ind w:firstLine="432"/>
        <w:jc w:val="both"/>
      </w:pPr>
      <w:r>
        <w:rPr>
          <w:rFonts w:ascii="Times New Roman" w:hAnsi="Times New Roman" w:eastAsia="宋体"/>
          <w:b w:val="0"/>
          <w:sz w:val="24"/>
        </w:rPr>
        <w:t>○ 6 hours on regular cement.</w:t>
      </w:r>
    </w:p>
    <w:p>
      <w:pPr>
        <w:spacing w:line="240" w:lineRule="auto"/>
        <w:ind w:firstLine="432"/>
        <w:jc w:val="both"/>
      </w:pPr>
      <w:r>
        <w:rPr>
          <w:rFonts w:ascii="Times New Roman" w:hAnsi="Times New Roman" w:eastAsia="宋体"/>
          <w:b w:val="0"/>
          <w:sz w:val="24"/>
        </w:rPr>
        <w:t>- Operator must tag all cement plugs unless it meets the below condition.</w:t>
      </w:r>
    </w:p>
    <w:p>
      <w:pPr>
        <w:spacing w:line="240" w:lineRule="auto"/>
        <w:ind w:firstLine="432"/>
        <w:jc w:val="both"/>
      </w:pPr>
      <w:r>
        <w:rPr>
          <w:rFonts w:ascii="Times New Roman" w:hAnsi="Times New Roman" w:eastAsia="宋体"/>
          <w:b w:val="0"/>
          <w:sz w:val="24"/>
        </w:rPr>
        <w:t>The operator has a passing pressure test for the casing annulus and the plug is only an inside plug.</w:t>
      </w:r>
    </w:p>
    <w:p>
      <w:pPr>
        <w:spacing w:line="240" w:lineRule="auto"/>
        <w:ind w:firstLine="432"/>
        <w:jc w:val="both"/>
      </w:pPr>
      <w:r>
        <w:rPr>
          <w:rFonts w:ascii="Times New Roman" w:hAnsi="Times New Roman" w:eastAsia="宋体"/>
          <w:b w:val="0"/>
          <w:sz w:val="24"/>
        </w:rPr>
        <w:t>If perforations are made operator must tag all plugs using the work string to tag unless given approval to tag with wireline by the correct contact from COA #1 of this document.</w:t>
      </w:r>
    </w:p>
    <w:p>
      <w:pPr>
        <w:spacing w:line="240" w:lineRule="auto"/>
        <w:ind w:firstLine="432"/>
        <w:jc w:val="both"/>
      </w:pPr>
      <w:r>
        <w:rPr>
          <w:rFonts w:ascii="Times New Roman" w:hAnsi="Times New Roman" w:eastAsia="宋体"/>
          <w:b w:val="0"/>
          <w:sz w:val="24"/>
        </w:rPr>
        <w:t>This includes plugs pumped underneath a cement retainer to ensure retainer seats properly after cement is pumped.</w:t>
      </w:r>
    </w:p>
    <w:p>
      <w:pPr>
        <w:spacing w:line="240" w:lineRule="auto"/>
        <w:ind w:firstLine="432"/>
        <w:jc w:val="both"/>
      </w:pPr>
      <w:r>
        <w:rPr>
          <w:rFonts w:ascii="Times New Roman" w:hAnsi="Times New Roman" w:eastAsia="宋体"/>
          <w:b w:val="0"/>
          <w:sz w:val="24"/>
        </w:rPr>
        <w:t>Cement can only be bull-headed with specific prior approval.</w:t>
      </w:r>
    </w:p>
    <w:p>
      <w:pPr>
        <w:spacing w:line="240" w:lineRule="auto"/>
        <w:ind w:firstLine="432"/>
        <w:jc w:val="both"/>
      </w:pPr>
      <w:r>
        <w:rPr>
          <w:rFonts w:ascii="Times New Roman" w:hAnsi="Times New Roman" w:eastAsia="宋体"/>
          <w:b w:val="0"/>
          <w:sz w:val="24"/>
        </w:rPr>
        <w:t>Squeeze pressures are not to exceed the exposed formations frac gradient or the burst pressure of the casing.</w:t>
      </w:r>
    </w:p>
    <w:p>
      <w:pPr>
        <w:spacing w:line="240" w:lineRule="auto"/>
        <w:ind w:firstLine="432"/>
        <w:jc w:val="both"/>
      </w:pPr>
      <w:r>
        <w:rPr>
          <w:rFonts w:ascii="Times New Roman" w:hAnsi="Times New Roman" w:eastAsia="宋体"/>
          <w:b w:val="0"/>
          <w:sz w:val="24"/>
        </w:rPr>
        <w:t>14. A cement plug is required to be set from 50' below to 50' above (straddling) formation tops, casing shoes, casing stubs, any attempted casing cut offs, anywhere the casing is perforated, DV tools.</w:t>
      </w:r>
    </w:p>
    <w:p>
      <w:pPr>
        <w:spacing w:line="240" w:lineRule="auto"/>
        <w:ind w:firstLine="432"/>
        <w:jc w:val="both"/>
      </w:pPr>
      <w:r>
        <w:rPr>
          <w:rFonts w:ascii="Times New Roman" w:hAnsi="Times New Roman" w:eastAsia="宋体"/>
          <w:b w:val="0"/>
          <w:sz w:val="24"/>
        </w:rPr>
        <w:t>- Perforation/Formation top plug. (When there is less than 100ft between the top perforation to the formation top.) These plugs are required to be started no greater than</w:t>
      </w:r>
    </w:p>
    <w:sectPr w:rsidR="00FC693F" w:rsidRPr="0006063C" w:rsidSect="00034616">
      <w:headerReference w:type="default" r:id="rId9"/>
      <w:footerReference w:type="default" r:id="rId10"/>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Page 4 of 22</w:t>
    </w:r>
  </w:p>
  <w:p>
    <w:pPr>
      <w:jc w:val="center"/>
    </w:pPr>
    <w:r>
      <w:rPr>
        <w:rFonts w:ascii="Times New Roman" w:hAnsi="Times New Roman" w:eastAsia="宋体"/>
      </w:rPr>
      <w:t>Released to Imaging: 5/20/2026 1:11:31 PM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Received by OCD: 4/23/2026 11:06:25 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