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721"/>
        <w:gridCol w:w="2721"/>
        <w:gridCol w:w="2721"/>
      </w:tblGrid>
      <w:tr>
        <w:tc>
          <w:tcPr>
            <w:tcW w:type="dxa" w:w="2721"/>
          </w:tcPr>
          <w:p>
            <w:r>
              <w:rPr>
                <w:rFonts w:ascii="Times New Roman" w:hAnsi="Times New Roman" w:eastAsia="宋体"/>
                <w:sz w:val="24"/>
              </w:rPr>
              <w:t>Submit 1 Copy To Appropriate District Office\nDistrict I\n1625 N. French Dr, Hobbs, NM 88240\nDistrict II\n1301 W. Grand Ave., Artesia, NM 88210\nDistrict III\n1000 Rio Brazos Rd., Aztec, NM 87410\nDistrict IV\n1220 S. St. Francis Dr., Santa Fe, NM\n87505</w:t>
            </w:r>
          </w:p>
        </w:tc>
        <w:tc>
          <w:tcPr>
            <w:tcW w:type="dxa" w:w="2721"/>
          </w:tcPr>
          <w:p>
            <w:r>
              <w:rPr>
                <w:rFonts w:ascii="Times New Roman" w:hAnsi="Times New Roman" w:eastAsia="宋体"/>
                <w:sz w:val="24"/>
              </w:rPr>
              <w:t>State of New Mexico\nEnergy, Minerals and Natural Resources</w:t>
            </w:r>
          </w:p>
        </w:tc>
        <w:tc>
          <w:tcPr>
            <w:tcW w:type="dxa" w:w="2721"/>
          </w:tcPr>
          <w:p>
            <w:r>
              <w:rPr>
                <w:rFonts w:ascii="Times New Roman" w:hAnsi="Times New Roman" w:eastAsia="宋体"/>
                <w:sz w:val="24"/>
              </w:rPr>
              <w:t>Form C-103\nOctober 13, 2009</w:t>
            </w:r>
          </w:p>
        </w:tc>
      </w:tr>
      <w:tr>
        <w:tc>
          <w:tcPr>
            <w:tcW w:type="dxa" w:w="2721"/>
          </w:tcPr>
          <w:p>
            <w:r>
              <w:rPr>
                <w:rFonts w:ascii="Times New Roman" w:hAnsi="Times New Roman" w:eastAsia="宋体"/>
                <w:sz w:val="24"/>
              </w:rPr>
              <w:t>OIL CONSERVATION DIVISION\n1220 South St. Francis Dr.\nSanta Fe, NM 87505</w:t>
            </w:r>
          </w:p>
        </w:tc>
        <w:tc>
          <w:tcPr>
            <w:tcW w:type="dxa" w:w="2721"/>
          </w:tcPr>
          <w:p>
            <w:r>
              <w:rPr>
                <w:rFonts w:ascii="Times New Roman" w:hAnsi="Times New Roman" w:eastAsia="宋体"/>
                <w:sz w:val="24"/>
              </w:rPr>
              <w:t>WELL API NO.\n30-015-37500</w:t>
            </w:r>
          </w:p>
        </w:tc>
        <w:tc>
          <w:tcPr>
            <w:tcW w:type="dxa" w:w="2721"/>
          </w:tcPr>
          <w:p/>
        </w:tc>
      </w:tr>
      <w:tr>
        <w:tc>
          <w:tcPr>
            <w:tcW w:type="dxa" w:w="2721"/>
          </w:tcPr>
          <w:p>
            <w:r>
              <w:rPr>
                <w:rFonts w:ascii="Times New Roman" w:hAnsi="Times New Roman" w:eastAsia="宋体"/>
                <w:sz w:val="24"/>
              </w:rPr>
              <w:t>5. Indicate Type of Lease\nSTATE ☒ FEE ☐</w:t>
            </w:r>
          </w:p>
        </w:tc>
        <w:tc>
          <w:tcPr>
            <w:tcW w:type="dxa" w:w="2721"/>
          </w:tcPr>
          <w:p/>
        </w:tc>
        <w:tc>
          <w:tcPr>
            <w:tcW w:type="dxa" w:w="2721"/>
          </w:tcPr>
          <w:p/>
        </w:tc>
      </w:tr>
      <w:tr>
        <w:tc>
          <w:tcPr>
            <w:tcW w:type="dxa" w:w="2721"/>
          </w:tcPr>
          <w:p>
            <w:r>
              <w:rPr>
                <w:rFonts w:ascii="Times New Roman" w:hAnsi="Times New Roman" w:eastAsia="宋体"/>
                <w:sz w:val="24"/>
              </w:rPr>
              <w:t>6. State Oil &amp; Gas Lease No.</w:t>
            </w:r>
          </w:p>
        </w:tc>
        <w:tc>
          <w:tcPr>
            <w:tcW w:type="dxa" w:w="2721"/>
          </w:tcPr>
          <w:p/>
        </w:tc>
        <w:tc>
          <w:tcPr>
            <w:tcW w:type="dxa" w:w="2721"/>
          </w:tcPr>
          <w:p/>
        </w:tc>
      </w:tr>
      <w:tr>
        <w:tc>
          <w:tcPr>
            <w:tcW w:type="dxa" w:w="2721"/>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 )</w:t>
            </w:r>
          </w:p>
        </w:tc>
        <w:tc>
          <w:tcPr>
            <w:tcW w:type="dxa" w:w="2721"/>
          </w:tcPr>
          <w:p>
            <w:r>
              <w:rPr>
                <w:rFonts w:ascii="Times New Roman" w:hAnsi="Times New Roman" w:eastAsia="宋体"/>
                <w:sz w:val="24"/>
              </w:rPr>
              <w:t>RECEIVED\nMAR 17 2010</w:t>
            </w:r>
          </w:p>
        </w:tc>
        <w:tc>
          <w:tcPr>
            <w:tcW w:type="dxa" w:w="2721"/>
          </w:tcPr>
          <w:p>
            <w:r>
              <w:rPr>
                <w:rFonts w:ascii="Times New Roman" w:hAnsi="Times New Roman" w:eastAsia="宋体"/>
                <w:sz w:val="24"/>
              </w:rPr>
              <w:t>7. Lease Name or Unit Agreement Name\nJericho BKJ State Com</w:t>
            </w:r>
          </w:p>
        </w:tc>
      </w:tr>
      <w:tr>
        <w:tc>
          <w:tcPr>
            <w:tcW w:type="dxa" w:w="2721"/>
          </w:tcPr>
          <w:p>
            <w:r>
              <w:rPr>
                <w:rFonts w:ascii="Times New Roman" w:hAnsi="Times New Roman" w:eastAsia="宋体"/>
                <w:sz w:val="24"/>
              </w:rPr>
              <w:t>8. Well Number\n2H</w:t>
            </w:r>
          </w:p>
        </w:tc>
        <w:tc>
          <w:tcPr>
            <w:tcW w:type="dxa" w:w="2721"/>
          </w:tcPr>
          <w:p/>
        </w:tc>
        <w:tc>
          <w:tcPr>
            <w:tcW w:type="dxa" w:w="2721"/>
          </w:tcPr>
          <w:p/>
        </w:tc>
      </w:tr>
      <w:tr>
        <w:tc>
          <w:tcPr>
            <w:tcW w:type="dxa" w:w="2721"/>
          </w:tcPr>
          <w:p>
            <w:r>
              <w:rPr>
                <w:rFonts w:ascii="Times New Roman" w:hAnsi="Times New Roman" w:eastAsia="宋体"/>
                <w:sz w:val="24"/>
              </w:rPr>
              <w:t>1. Type of Well: Oil Well ☒ Gas Well ☐ Other</w:t>
            </w:r>
          </w:p>
        </w:tc>
        <w:tc>
          <w:tcPr>
            <w:tcW w:type="dxa" w:w="2721"/>
          </w:tcPr>
          <w:p>
            <w:r>
              <w:rPr>
                <w:rFonts w:ascii="Times New Roman" w:hAnsi="Times New Roman" w:eastAsia="宋体"/>
                <w:sz w:val="24"/>
              </w:rPr>
              <w:t>NMOCD ARTESIA</w:t>
            </w:r>
          </w:p>
        </w:tc>
        <w:tc>
          <w:tcPr>
            <w:tcW w:type="dxa" w:w="2721"/>
          </w:tcPr>
          <w:p>
            <w:r>
              <w:rPr>
                <w:rFonts w:ascii="Times New Roman" w:hAnsi="Times New Roman" w:eastAsia="宋体"/>
                <w:sz w:val="24"/>
              </w:rPr>
              <w:t>9. OGRID Number\n025575</w:t>
            </w:r>
          </w:p>
        </w:tc>
      </w:tr>
      <w:tr>
        <w:tc>
          <w:tcPr>
            <w:tcW w:type="dxa" w:w="2721"/>
          </w:tcPr>
          <w:p>
            <w:r>
              <w:rPr>
                <w:rFonts w:ascii="Times New Roman" w:hAnsi="Times New Roman" w:eastAsia="宋体"/>
                <w:sz w:val="24"/>
              </w:rPr>
              <w:t>2. Name of Operator\nYates Petroleum Corporation</w:t>
            </w:r>
          </w:p>
        </w:tc>
        <w:tc>
          <w:tcPr>
            <w:tcW w:type="dxa" w:w="2721"/>
          </w:tcPr>
          <w:p>
            <w:r>
              <w:rPr>
                <w:rFonts w:ascii="Times New Roman" w:hAnsi="Times New Roman" w:eastAsia="宋体"/>
                <w:sz w:val="24"/>
              </w:rPr>
              <w:t>10. Pool name or Wildcat\nUndesignated; Bone Spring</w:t>
            </w:r>
          </w:p>
        </w:tc>
        <w:tc>
          <w:tcPr>
            <w:tcW w:type="dxa" w:w="2721"/>
          </w:tcPr>
          <w:p/>
        </w:tc>
      </w:tr>
      <w:tr>
        <w:tc>
          <w:tcPr>
            <w:tcW w:type="dxa" w:w="2721"/>
          </w:tcPr>
          <w:p>
            <w:r>
              <w:rPr>
                <w:rFonts w:ascii="Times New Roman" w:hAnsi="Times New Roman" w:eastAsia="宋体"/>
                <w:sz w:val="24"/>
              </w:rPr>
              <w:t>3. Address of Operator\n105 South Fourth Street, Artesia, NM 88210</w:t>
            </w:r>
          </w:p>
        </w:tc>
        <w:tc>
          <w:tcPr>
            <w:tcW w:type="dxa" w:w="2721"/>
          </w:tcPr>
          <w:p/>
        </w:tc>
        <w:tc>
          <w:tcPr>
            <w:tcW w:type="dxa" w:w="2721"/>
          </w:tcPr>
          <w:p/>
        </w:tc>
      </w:tr>
      <w:tr>
        <w:tc>
          <w:tcPr>
            <w:tcW w:type="dxa" w:w="2721"/>
          </w:tcPr>
          <w:p>
            <w:r>
              <w:rPr>
                <w:rFonts w:ascii="Times New Roman" w:hAnsi="Times New Roman" w:eastAsia="宋体"/>
                <w:sz w:val="24"/>
              </w:rPr>
              <w:t>4. Well Location\nUnit Letter A : 660 feet from the North line and 330 feet from the East line</w:t>
            </w:r>
          </w:p>
        </w:tc>
        <w:tc>
          <w:tcPr>
            <w:tcW w:type="dxa" w:w="2721"/>
          </w:tcPr>
          <w:p/>
        </w:tc>
        <w:tc>
          <w:tcPr>
            <w:tcW w:type="dxa" w:w="2721"/>
          </w:tcPr>
          <w:p/>
        </w:tc>
      </w:tr>
      <w:tr>
        <w:tc>
          <w:tcPr>
            <w:tcW w:type="dxa" w:w="2721"/>
          </w:tcPr>
          <w:p>
            <w:r>
              <w:rPr>
                <w:rFonts w:ascii="Times New Roman" w:hAnsi="Times New Roman" w:eastAsia="宋体"/>
                <w:sz w:val="24"/>
              </w:rPr>
              <w:t>Section 15 Township 25S Range 27E NMPM Eddy County</w:t>
            </w:r>
          </w:p>
        </w:tc>
        <w:tc>
          <w:tcPr>
            <w:tcW w:type="dxa" w:w="2721"/>
          </w:tcPr>
          <w:p/>
        </w:tc>
        <w:tc>
          <w:tcPr>
            <w:tcW w:type="dxa" w:w="2721"/>
          </w:tcPr>
          <w:p/>
        </w:tc>
      </w:tr>
      <w:tr>
        <w:tc>
          <w:tcPr>
            <w:tcW w:type="dxa" w:w="2721"/>
          </w:tcPr>
          <w:p/>
        </w:tc>
        <w:tc>
          <w:tcPr>
            <w:tcW w:type="dxa" w:w="2721"/>
          </w:tcPr>
          <w:p>
            <w:r>
              <w:rPr>
                <w:rFonts w:ascii="Times New Roman" w:hAnsi="Times New Roman" w:eastAsia="宋体"/>
                <w:sz w:val="24"/>
              </w:rPr>
              <w:t>11. Elevation (Show whether DR, RKB, RT, GR, etc.)\n3172'GR</w:t>
            </w:r>
          </w:p>
        </w:tc>
        <w:tc>
          <w:tcPr>
            <w:tcW w:type="dxa" w:w="2721"/>
          </w:tcPr>
          <w:p/>
        </w:tc>
      </w:tr>
    </w:tbl>
    <w:p>
      <w:pPr>
        <w:spacing w:line="240" w:lineRule="auto"/>
        <w:jc w:val="left"/>
      </w:pPr>
      <w:r>
        <w:rPr>
          <w:rFonts w:ascii="Times New Roman" w:hAnsi="Times New Roman" w:eastAsia="宋体"/>
          <w:b/>
          <w:sz w:val="28"/>
        </w:rPr>
        <w:t>12. Check Appropriate Box to Indicate Nature of Notice, Report or Other Data</w:t>
      </w:r>
    </w:p>
    <w:p>
      <w:pPr>
        <w:spacing w:line="240" w:lineRule="auto"/>
        <w:ind w:firstLine="432"/>
        <w:jc w:val="both"/>
      </w:pPr>
      <w:r>
        <w:rPr>
          <w:rFonts w:ascii="Times New Roman" w:hAnsi="Times New Roman" w:eastAsia="宋体"/>
          <w:b w:val="0"/>
          <w:sz w:val="24"/>
        </w:rPr>
        <w:t>NOTICE OF INTENTION TO:</w:t>
      </w:r>
    </w:p>
    <w:p>
      <w:pPr>
        <w:spacing w:line="240" w:lineRule="auto"/>
        <w:ind w:firstLine="432"/>
        <w:jc w:val="both"/>
      </w:pPr>
      <w:r>
        <w:rPr>
          <w:rFonts w:ascii="Times New Roman" w:hAnsi="Times New Roman" w:eastAsia="宋体"/>
          <w:b w:val="0"/>
          <w:sz w:val="24"/>
        </w:rPr>
        <w:t>PERFORM REMEDIAL WORK ☐ PLUG AND ABANDON ☐</w:t>
      </w:r>
    </w:p>
    <w:p>
      <w:pPr>
        <w:spacing w:line="240" w:lineRule="auto"/>
        <w:ind w:firstLine="432"/>
        <w:jc w:val="both"/>
      </w:pPr>
      <w:r>
        <w:rPr>
          <w:rFonts w:ascii="Times New Roman" w:hAnsi="Times New Roman" w:eastAsia="宋体"/>
          <w:b w:val="0"/>
          <w:sz w:val="24"/>
        </w:rPr>
        <w:t>SUBSEQUENT REPORT OF:</w:t>
      </w:r>
    </w:p>
    <w:p>
      <w:pPr>
        <w:spacing w:line="240" w:lineRule="auto"/>
        <w:ind w:firstLine="432"/>
        <w:jc w:val="both"/>
      </w:pPr>
      <w:r>
        <w:rPr>
          <w:rFonts w:ascii="Times New Roman" w:hAnsi="Times New Roman" w:eastAsia="宋体"/>
          <w:b w:val="0"/>
          <w:sz w:val="24"/>
        </w:rPr>
        <w:t>TEMPORARILY ABANDON</w:t>
      </w:r>
    </w:p>
    <w:p>
      <w:pPr>
        <w:spacing w:line="240" w:lineRule="auto"/>
        <w:ind w:firstLine="432"/>
        <w:jc w:val="both"/>
      </w:pPr>
      <w:r>
        <w:rPr>
          <w:rFonts w:ascii="Times New Roman" w:hAnsi="Times New Roman" w:eastAsia="宋体"/>
          <w:b w:val="0"/>
          <w:sz w:val="24"/>
        </w:rPr>
        <w:t>REMEDIAL WORK</w:t>
      </w:r>
    </w:p>
    <w:p>
      <w:pPr>
        <w:spacing w:line="240" w:lineRule="auto"/>
        <w:ind w:firstLine="432"/>
        <w:jc w:val="both"/>
      </w:pPr>
      <w:r>
        <w:rPr>
          <w:rFonts w:ascii="Times New Roman" w:hAnsi="Times New Roman" w:eastAsia="宋体"/>
          <w:b w:val="0"/>
          <w:sz w:val="24"/>
        </w:rPr>
        <w:t>□ CHANGE PLANS</w:t>
      </w:r>
    </w:p>
    <w:p>
      <w:pPr>
        <w:spacing w:line="240" w:lineRule="auto"/>
        <w:ind w:firstLine="432"/>
        <w:jc w:val="both"/>
      </w:pPr>
      <w:r>
        <w:rPr>
          <w:rFonts w:ascii="Times New Roman" w:hAnsi="Times New Roman" w:eastAsia="宋体"/>
          <w:b w:val="0"/>
          <w:sz w:val="24"/>
        </w:rPr>
        <w:t>□ ALTERING CASING □</w:t>
      </w:r>
    </w:p>
    <w:p>
      <w:pPr>
        <w:spacing w:line="240" w:lineRule="auto"/>
        <w:ind w:firstLine="432"/>
        <w:jc w:val="both"/>
      </w:pPr>
      <w:r>
        <w:rPr>
          <w:rFonts w:ascii="Times New Roman" w:hAnsi="Times New Roman" w:eastAsia="宋体"/>
          <w:b w:val="0"/>
          <w:sz w:val="24"/>
        </w:rPr>
        <w:t>PULL OR ALTER CASING</w:t>
      </w:r>
    </w:p>
    <w:p>
      <w:pPr>
        <w:spacing w:line="240" w:lineRule="auto"/>
        <w:ind w:firstLine="432"/>
        <w:jc w:val="both"/>
      </w:pPr>
      <w:r>
        <w:rPr>
          <w:rFonts w:ascii="Times New Roman" w:hAnsi="Times New Roman" w:eastAsia="宋体"/>
          <w:b w:val="0"/>
          <w:sz w:val="24"/>
        </w:rPr>
        <w:t>COMMENCE DRILLING OPNS.□ P AND A</w:t>
      </w:r>
    </w:p>
    <w:p>
      <w:pPr>
        <w:spacing w:line="240" w:lineRule="auto"/>
        <w:ind w:firstLine="432"/>
        <w:jc w:val="both"/>
      </w:pPr>
      <w:r>
        <w:rPr>
          <w:rFonts w:ascii="Times New Roman" w:hAnsi="Times New Roman" w:eastAsia="宋体"/>
          <w:b w:val="0"/>
          <w:sz w:val="24"/>
        </w:rPr>
        <w:t>□ MULTIPLE COMPL</w:t>
      </w:r>
    </w:p>
    <w:p>
      <w:pPr>
        <w:spacing w:line="240" w:lineRule="auto"/>
        <w:ind w:firstLine="432"/>
        <w:jc w:val="both"/>
      </w:pPr>
      <w:r>
        <w:rPr>
          <w:rFonts w:ascii="Times New Roman" w:hAnsi="Times New Roman" w:eastAsia="宋体"/>
          <w:b w:val="0"/>
          <w:sz w:val="24"/>
        </w:rPr>
        <w:t>DOWNHOLE COMMINGLE</w:t>
      </w:r>
    </w:p>
    <w:p>
      <w:pPr>
        <w:spacing w:line="240" w:lineRule="auto"/>
        <w:ind w:firstLine="432"/>
        <w:jc w:val="both"/>
      </w:pPr>
      <w:r>
        <w:rPr>
          <w:rFonts w:ascii="Times New Roman" w:hAnsi="Times New Roman" w:eastAsia="宋体"/>
          <w:b w:val="0"/>
          <w:sz w:val="24"/>
        </w:rPr>
        <w:t>CASING/CEMENT JOB</w:t>
      </w:r>
    </w:p>
    <w:p>
      <w:pPr>
        <w:spacing w:line="240" w:lineRule="auto"/>
        <w:ind w:firstLine="432"/>
        <w:jc w:val="both"/>
      </w:pPr>
      <w:r>
        <w:rPr>
          <w:rFonts w:ascii="Times New Roman" w:hAnsi="Times New Roman" w:eastAsia="宋体"/>
          <w:b w:val="0"/>
          <w:sz w:val="24"/>
        </w:rPr>
        <w:t>OTHER:</w:t>
      </w:r>
    </w:p>
    <w:p>
      <w:pPr>
        <w:jc w:val="center"/>
      </w:pPr>
      <w:r>
        <w:drawing>
          <wp:inline xmlns:a="http://schemas.openxmlformats.org/drawingml/2006/main" xmlns:pic="http://schemas.openxmlformats.org/drawingml/2006/picture">
            <wp:extent cx="117267" cy="107886"/>
            <wp:docPr id="1" name="Picture 1"/>
            <wp:cNvGraphicFramePr>
              <a:graphicFrameLocks noChangeAspect="1"/>
            </wp:cNvGraphicFramePr>
            <a:graphic>
              <a:graphicData uri="http://schemas.openxmlformats.org/drawingml/2006/picture">
                <pic:pic>
                  <pic:nvPicPr>
                    <pic:cNvPr id="0" name="img_in_image_box_567_786_592_809.jpg"/>
                    <pic:cNvPicPr/>
                  </pic:nvPicPr>
                  <pic:blipFill>
                    <a:blip r:embed="rId10"/>
                    <a:stretch>
                      <a:fillRect/>
                    </a:stretch>
                  </pic:blipFill>
                  <pic:spPr>
                    <a:xfrm>
                      <a:off x="0" y="0"/>
                      <a:ext cx="117267" cy="107886"/>
                    </a:xfrm>
                    <a:prstGeom prst="rect"/>
                  </pic:spPr>
                </pic:pic>
              </a:graphicData>
            </a:graphic>
          </wp:inline>
        </w:drawing>
      </w:r>
    </w:p>
    <w:p>
      <w:pPr>
        <w:spacing w:line="240" w:lineRule="auto"/>
        <w:ind w:firstLine="432"/>
        <w:jc w:val="both"/>
      </w:pPr>
      <w:r>
        <w:rPr>
          <w:rFonts w:ascii="Times New Roman" w:hAnsi="Times New Roman" w:eastAsia="宋体"/>
          <w:b w:val="0"/>
          <w:sz w:val="24"/>
        </w:rPr>
        <w:t>OTHER: 5' new hole</w:t>
      </w:r>
    </w:p>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19.15.7.14 NMAC. For Multiple Completions: Attach wellbore diagram of proposed completion or recompletion.</w:t>
      </w:r>
    </w:p>
    <w:p>
      <w:pPr>
        <w:spacing w:line="240" w:lineRule="auto"/>
        <w:ind w:firstLine="432"/>
        <w:jc w:val="both"/>
      </w:pPr>
      <w:r>
        <w:rPr>
          <w:rFonts w:ascii="Times New Roman" w:hAnsi="Times New Roman" w:eastAsia="宋体"/>
          <w:b w:val="0"/>
          <w:sz w:val="24"/>
        </w:rPr>
        <w:t>3/10/10 – Made 5' new hole at 1:40 PM. TD 20'. Hole size 12-1/4".</w:t>
      </w:r>
    </w:p>
    <w:p>
      <w:pPr>
        <w:spacing w:line="240" w:lineRule="auto"/>
        <w:ind w:firstLine="432"/>
        <w:jc w:val="both"/>
      </w:pPr>
      <w:r>
        <w:rPr>
          <w:rFonts w:ascii="Times New Roman" w:hAnsi="Times New Roman" w:eastAsia="宋体"/>
          <w:b w:val="0"/>
          <w:sz w:val="24"/>
        </w:rPr>
        <w:t>Spud Date:</w:t>
      </w:r>
    </w:p>
    <w:p>
      <w:pPr>
        <w:spacing w:line="240" w:lineRule="auto"/>
        <w:ind w:firstLine="432"/>
        <w:jc w:val="both"/>
      </w:pPr>
      <w:r>
        <w:rPr>
          <w:rFonts w:ascii="Times New Roman" w:hAnsi="Times New Roman" w:eastAsia="宋体"/>
          <w:b w:val="0"/>
          <w:sz w:val="24"/>
        </w:rPr>
        <w:t>2/1/10</w:t>
      </w:r>
    </w:p>
    <w:p>
      <w:pPr>
        <w:spacing w:line="240" w:lineRule="auto"/>
        <w:ind w:firstLine="432"/>
        <w:jc w:val="both"/>
      </w:pPr>
      <w:r>
        <w:rPr>
          <w:rFonts w:ascii="Times New Roman" w:hAnsi="Times New Roman" w:eastAsia="宋体"/>
          <w:b w:val="0"/>
          <w:sz w:val="24"/>
        </w:rPr>
        <w:t>Rig Release Date:</w:t>
      </w:r>
    </w:p>
    <w:p>
      <w:pPr>
        <w:spacing w:line="240" w:lineRule="auto"/>
        <w:ind w:firstLine="432"/>
        <w:jc w:val="both"/>
      </w:pPr>
      <w:r>
        <w:rPr>
          <w:rFonts w:ascii="Times New Roman" w:hAnsi="Times New Roman" w:eastAsia="宋体"/>
          <w:b w:val="0"/>
          <w:sz w:val="24"/>
        </w:rPr>
        <w:t>I hereby certify that the information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Type or print name  </w:t>
      </w:r>
      <w:r>
        <w:rPr>
          <w:rFonts w:ascii="Times New Roman" w:hAnsi="Times New Roman" w:eastAsia="宋体"/>
          <w:b w:val="0"/>
          <w:sz w:val="24"/>
        </w:rPr>
        <w:t>$ \underline{\text{Tina Huerta}}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\underline{\text{Regulatory Compliance Supervisor}} $</w:t>
      </w:r>
      <w:r>
        <w:rPr>
          <w:rFonts w:ascii="Times New Roman" w:hAnsi="Times New Roman" w:eastAsia="宋体"/>
          <w:b w:val="0"/>
          <w:sz w:val="24"/>
        </w:rPr>
        <w:t xml:space="preserve"> DATE  </w:t>
      </w:r>
      <w:r>
        <w:rPr>
          <w:rFonts w:ascii="Times New Roman" w:hAnsi="Times New Roman" w:eastAsia="宋体"/>
          <w:b w:val="0"/>
          <w:sz w:val="24"/>
        </w:rPr>
        <w:t>$ \underline{\text{March 15, 2010}} $</w:t>
      </w:r>
    </w:p>
    <w:p>
      <w:pPr>
        <w:spacing w:line="240" w:lineRule="auto"/>
        <w:ind w:firstLine="432"/>
        <w:jc w:val="both"/>
      </w:pPr>
      <w:r>
        <w:rPr>
          <w:rFonts w:ascii="Times New Roman" w:hAnsi="Times New Roman" w:eastAsia="宋体"/>
          <w:b w:val="0"/>
          <w:sz w:val="24"/>
        </w:rPr>
        <w:t>For State Use Only</w:t>
      </w:r>
    </w:p>
    <w:p>
      <w:pPr>
        <w:spacing w:line="240" w:lineRule="auto"/>
        <w:ind w:firstLine="432"/>
        <w:jc w:val="both"/>
      </w:pPr>
      <w:r>
        <w:rPr>
          <w:rFonts w:ascii="Times New Roman" w:hAnsi="Times New Roman" w:eastAsia="宋体"/>
          <w:b w:val="0"/>
          <w:sz w:val="24"/>
        </w:rPr>
        <w:t>APPROVED BY: Dauld Way</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PHONE:  </w:t>
      </w:r>
      <w:r>
        <w:rPr>
          <w:rFonts w:ascii="Times New Roman" w:hAnsi="Times New Roman" w:eastAsia="宋体"/>
          <w:b w:val="0"/>
          <w:sz w:val="24"/>
        </w:rPr>
        <w:t>$ \underline{\text{575-748-4168}} $</w:t>
      </w:r>
    </w:p>
    <w:p>
      <w:pPr>
        <w:spacing w:line="240" w:lineRule="auto"/>
        <w:ind w:firstLine="432"/>
        <w:jc w:val="both"/>
      </w:pPr>
      <w:r>
        <w:rPr>
          <w:rFonts w:ascii="Times New Roman" w:hAnsi="Times New Roman" w:eastAsia="宋体"/>
          <w:b w:val="0"/>
          <w:sz w:val="24"/>
        </w:rPr>
        <w:t>Conditions of Approval (if any):</w:t>
      </w:r>
    </w:p>
    <w:p>
      <w:pPr>
        <w:spacing w:line="240" w:lineRule="auto"/>
        <w:ind w:firstLine="432"/>
        <w:jc w:val="both"/>
      </w:pPr>
      <w:r>
        <w:rPr>
          <w:rFonts w:ascii="Times New Roman" w:hAnsi="Times New Roman" w:eastAsia="宋体"/>
          <w:b w:val="0"/>
          <w:sz w:val="24"/>
        </w:rPr>
        <w:t>TITLE Field Supervisor</w:t>
      </w:r>
    </w:p>
    <w:p>
      <w:pPr>
        <w:spacing w:line="240" w:lineRule="auto"/>
        <w:ind w:firstLine="432"/>
        <w:jc w:val="both"/>
      </w:pPr>
      <w:r>
        <w:rPr>
          <w:rFonts w:ascii="Times New Roman" w:hAnsi="Times New Roman" w:eastAsia="宋体"/>
          <w:b w:val="0"/>
          <w:sz w:val="24"/>
        </w:rPr>
        <w:t>DATE 3-18-2010</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left"/>
    </w:pPr>
    <w:r>
      <w:drawing>
        <wp:inline xmlns:a="http://schemas.openxmlformats.org/drawingml/2006/main" xmlns:pic="http://schemas.openxmlformats.org/drawingml/2006/picture">
          <wp:extent cx="234534" cy="211081"/>
          <wp:docPr id="1" name="Picture 1"/>
          <wp:cNvGraphicFramePr>
            <a:graphicFrameLocks noChangeAspect="1"/>
          </wp:cNvGraphicFramePr>
          <a:graphic>
            <a:graphicData uri="http://schemas.openxmlformats.org/drawingml/2006/picture">
              <pic:pic>
                <pic:nvPicPr>
                  <pic:cNvPr id="0" name="img_in_header_image_box_1164_10_1214_55.jpg"/>
                  <pic:cNvPicPr/>
                </pic:nvPicPr>
                <pic:blipFill>
                  <a:blip r:embed="rId1"/>
                  <a:stretch>
                    <a:fillRect/>
                  </a:stretch>
                </pic:blipFill>
                <pic:spPr>
                  <a:xfrm>
                    <a:off x="0" y="0"/>
                    <a:ext cx="234534" cy="211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