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50ft from the top perforation. However, the plug should be set below the formation top or as close to the formation top as possible for the maximum isolation between the formations. The plug is required to be a 100ft cement plug plus excess.</w:t>
      </w:r>
    </w:p>
    <w:p>
      <w:pPr>
        <w:spacing w:line="240" w:lineRule="auto"/>
        <w:ind w:firstLine="432"/>
        <w:jc w:val="both"/>
      </w:pPr>
      <w:r>
        <w:rPr>
          <w:rFonts w:ascii="Times New Roman" w:hAnsi="Times New Roman" w:eastAsia="宋体"/>
          <w:b w:val="0"/>
          <w:sz w:val="24"/>
        </w:rPr>
        <w:t>Perforation Plug when a formation top is not included. These plugs are required to be started within 50ft of the top perforation. The plug is required to be a 100ft cement plug plus excess.</w:t>
      </w:r>
    </w:p>
    <w:p>
      <w:pPr>
        <w:spacing w:line="240" w:lineRule="auto"/>
        <w:ind w:firstLine="432"/>
        <w:jc w:val="both"/>
      </w:pPr>
      <w:r>
        <w:rPr>
          <w:rFonts w:ascii="Times New Roman" w:hAnsi="Times New Roman" w:eastAsia="宋体"/>
          <w:b w:val="0"/>
          <w:sz w:val="24"/>
        </w:rPr>
        <w:t>- Cement caps on top of bridge plugs or cement retainers for perforation plugs, that are not straddling a formation top, may be set using a bailer with a minimum of 35' of cement in lieu of the 100' plug. The bridge plug or retainer must be set within 50ft of the perforations.</w:t>
      </w:r>
    </w:p>
    <w:p>
      <w:pPr>
        <w:spacing w:line="240" w:lineRule="auto"/>
        <w:ind w:firstLine="432"/>
        <w:jc w:val="both"/>
      </w:pPr>
      <w:r>
        <w:rPr>
          <w:rFonts w:ascii="Times New Roman" w:hAnsi="Times New Roman" w:eastAsia="宋体"/>
          <w:b w:val="0"/>
          <w:sz w:val="24"/>
        </w:rPr>
        <w:t>- Perforations are required below the surface casing shoe if cement does not exist behind the casing, a 30-minute minimum wait time will be required immediately after perforating to determine if gas and/or water flows are present. If flow is present, the well will be shut-in for a minimum of one hour and the pressure recorded. If gas is detected contact the OCD office for directions.</w:t>
      </w:r>
    </w:p>
    <w:p>
      <w:pPr>
        <w:spacing w:line="240" w:lineRule="auto"/>
        <w:ind w:firstLine="432"/>
        <w:jc w:val="both"/>
      </w:pPr>
      <w:r>
        <w:rPr>
          <w:rFonts w:ascii="Times New Roman" w:hAnsi="Times New Roman" w:eastAsia="宋体"/>
          <w:b w:val="0"/>
          <w:sz w:val="24"/>
        </w:rPr>
        <w:t>15. No more than 3000 feet is allowed between cement plugs in cased hole and no more than 2000 feet is allowed in open hole.</w:t>
      </w:r>
    </w:p>
    <w:p>
      <w:pPr>
        <w:spacing w:line="240" w:lineRule="auto"/>
        <w:ind w:firstLine="432"/>
        <w:jc w:val="both"/>
      </w:pPr>
      <w:r>
        <w:rPr>
          <w:rFonts w:ascii="Times New Roman" w:hAnsi="Times New Roman" w:eastAsia="宋体"/>
          <w:b w:val="0"/>
          <w:sz w:val="24"/>
        </w:rPr>
        <w:t>16. Formation Tops to be isolated with cement plugs, but not limited to are:</w:t>
      </w:r>
    </w:p>
    <w:p>
      <w:pPr>
        <w:spacing w:line="240" w:lineRule="auto"/>
        <w:ind w:firstLine="432"/>
        <w:jc w:val="both"/>
      </w:pPr>
      <w:r>
        <w:rPr>
          <w:rFonts w:ascii="Times New Roman" w:hAnsi="Times New Roman" w:eastAsia="宋体"/>
          <w:b w:val="0"/>
          <w:sz w:val="24"/>
        </w:rPr>
        <w:t>Northwest See Figure A</w:t>
      </w:r>
    </w:p>
    <w:p>
      <w:pPr>
        <w:spacing w:line="240" w:lineRule="auto"/>
        <w:ind w:firstLine="432"/>
        <w:jc w:val="both"/>
      </w:pPr>
      <w:r>
        <w:rPr>
          <w:rFonts w:ascii="Times New Roman" w:hAnsi="Times New Roman" w:eastAsia="宋体"/>
          <w:b w:val="0"/>
          <w:sz w:val="24"/>
        </w:rPr>
        <w:t>• South (Artesia) See Figure B</w:t>
      </w:r>
    </w:p>
    <w:p>
      <w:pPr>
        <w:spacing w:line="240" w:lineRule="auto"/>
        <w:ind w:firstLine="432"/>
        <w:jc w:val="both"/>
      </w:pPr>
      <w:r>
        <w:rPr>
          <w:rFonts w:ascii="Times New Roman" w:hAnsi="Times New Roman" w:eastAsia="宋体"/>
          <w:b w:val="0"/>
          <w:sz w:val="24"/>
        </w:rPr>
        <w:t>• Potash See Figure C</w:t>
      </w:r>
    </w:p>
    <w:p>
      <w:pPr>
        <w:spacing w:line="240" w:lineRule="auto"/>
        <w:ind w:firstLine="432"/>
        <w:jc w:val="both"/>
      </w:pPr>
      <w:r>
        <w:rPr>
          <w:rFonts w:ascii="Times New Roman" w:hAnsi="Times New Roman" w:eastAsia="宋体"/>
          <w:b w:val="0"/>
          <w:sz w:val="24"/>
        </w:rPr>
        <w:t>In the R-111-P (Or as subsequently revised) Area a solid cement plug must be set across the salt section. Fluid used to mix the cement shall be saturated with the salts that are common to the section penetrated and in suitable proportions, not more than 3% calcium chloride (by weight of cement) will be considered the desired mixture whenever possible, woe 4 hours and tag, this plug will be 50' below the bottom and 50' above the top of the Formation.</w:t>
      </w:r>
    </w:p>
    <w:p>
      <w:pPr>
        <w:spacing w:line="240" w:lineRule="auto"/>
        <w:ind w:firstLine="432"/>
        <w:jc w:val="both"/>
      </w:pPr>
      <w:r>
        <w:rPr>
          <w:rFonts w:ascii="Times New Roman" w:hAnsi="Times New Roman" w:eastAsia="宋体"/>
          <w:b w:val="0"/>
          <w:sz w:val="24"/>
        </w:rPr>
        <w:t>• South (Hobbs) See Figure D1 and D2</w:t>
      </w:r>
    </w:p>
    <w:p>
      <w:pPr>
        <w:spacing w:line="240" w:lineRule="auto"/>
        <w:ind w:firstLine="432"/>
        <w:jc w:val="both"/>
      </w:pPr>
      <w:r>
        <w:rPr>
          <w:rFonts w:ascii="Times New Roman" w:hAnsi="Times New Roman" w:eastAsia="宋体"/>
          <w:b w:val="0"/>
          <w:sz w:val="24"/>
        </w:rPr>
        <w:t>- Areas not provided above will need to be reviewed with the OCD on a case by case basis.</w:t>
      </w:r>
    </w:p>
    <w:p>
      <w:pPr>
        <w:spacing w:line="240" w:lineRule="auto"/>
        <w:jc w:val="left"/>
      </w:pPr>
      <w:r>
        <w:rPr>
          <w:rFonts w:ascii="Times New Roman" w:hAnsi="Times New Roman" w:eastAsia="宋体"/>
          <w:b/>
          <w:sz w:val="28"/>
        </w:rPr>
        <w:t>17. Markers</w:t>
      </w:r>
    </w:p>
    <w:p>
      <w:pPr>
        <w:spacing w:line="240" w:lineRule="auto"/>
        <w:ind w:firstLine="432"/>
        <w:jc w:val="both"/>
      </w:pPr>
      <w:r>
        <w:rPr>
          <w:rFonts w:ascii="Times New Roman" w:hAnsi="Times New Roman" w:eastAsia="宋体"/>
          <w:b w:val="0"/>
          <w:sz w:val="24"/>
        </w:rPr>
        <w:t>Dry hole marker requirements 19.15.25.10.</w:t>
      </w:r>
    </w:p>
    <w:p>
      <w:pPr>
        <w:spacing w:line="240" w:lineRule="auto"/>
        <w:ind w:firstLine="432"/>
        <w:jc w:val="both"/>
      </w:pPr>
      <w:r>
        <w:rPr>
          <w:rFonts w:ascii="Times New Roman" w:hAnsi="Times New Roman" w:eastAsia="宋体"/>
          <w:b w:val="0"/>
          <w:sz w:val="24"/>
        </w:rPr>
        <w:t>The operator shall mark the exact location of plugged and abandoned wells with a steel marker not less than four inches in diameter set in cement and extending at least four feet above mean ground level. The marker must include the below information:</w:t>
      </w:r>
    </w:p>
    <w:p>
      <w:pPr>
        <w:spacing w:line="240" w:lineRule="auto"/>
        <w:ind w:firstLine="432"/>
        <w:jc w:val="both"/>
      </w:pPr>
      <w:r>
        <w:rPr>
          <w:rFonts w:ascii="Times New Roman" w:hAnsi="Times New Roman" w:eastAsia="宋体"/>
          <w:b w:val="0"/>
          <w:sz w:val="24"/>
        </w:rPr>
        <w:t>1. Operator name</w:t>
      </w:r>
    </w:p>
    <w:p>
      <w:pPr>
        <w:spacing w:line="240" w:lineRule="auto"/>
        <w:ind w:firstLine="432"/>
        <w:jc w:val="both"/>
      </w:pPr>
      <w:r>
        <w:rPr>
          <w:rFonts w:ascii="Times New Roman" w:hAnsi="Times New Roman" w:eastAsia="宋体"/>
          <w:b w:val="0"/>
          <w:sz w:val="24"/>
        </w:rPr>
        <w:t>2. Lease name and well number ___</w:t>
      </w:r>
    </w:p>
    <w:p>
      <w:pPr>
        <w:spacing w:line="240" w:lineRule="auto"/>
        <w:ind w:firstLine="432"/>
        <w:jc w:val="both"/>
      </w:pPr>
      <w:r>
        <w:rPr>
          <w:rFonts w:ascii="Times New Roman" w:hAnsi="Times New Roman" w:eastAsia="宋体"/>
          <w:b w:val="0"/>
          <w:sz w:val="24"/>
        </w:rPr>
        <w:t>3. API number</w:t>
      </w:r>
    </w:p>
    <w:p>
      <w:pPr>
        <w:spacing w:line="240" w:lineRule="auto"/>
        <w:ind w:firstLine="432"/>
        <w:jc w:val="both"/>
      </w:pPr>
      <w:r>
        <w:rPr>
          <w:rFonts w:ascii="Times New Roman" w:hAnsi="Times New Roman" w:eastAsia="宋体"/>
          <w:b w:val="0"/>
          <w:sz w:val="24"/>
        </w:rPr>
        <w:t>4. Unit letter</w:t>
      </w:r>
    </w:p>
    <w:p>
      <w:pPr>
        <w:spacing w:line="240" w:lineRule="auto"/>
        <w:ind w:firstLine="432"/>
        <w:jc w:val="both"/>
      </w:pPr>
      <w:r>
        <w:rPr>
          <w:rFonts w:ascii="Times New Roman" w:hAnsi="Times New Roman" w:eastAsia="宋体"/>
          <w:b w:val="0"/>
          <w:sz w:val="24"/>
        </w:rPr>
        <w:t>5. Section, Township and Range</w:t>
      </w:r>
    </w:p>
    <w:p>
      <w:pPr>
        <w:spacing w:line="240" w:lineRule="auto"/>
        <w:ind w:firstLine="432"/>
        <w:jc w:val="both"/>
      </w:pPr>
      <w:r>
        <w:rPr>
          <w:rFonts w:ascii="Times New Roman" w:hAnsi="Times New Roman" w:eastAsia="宋体"/>
          <w:b w:val="0"/>
          <w:sz w:val="24"/>
        </w:rPr>
        <w:t>• AGRICULTURE (Below grade markers)</w:t>
      </w:r>
    </w:p>
    <w:p>
      <w:pPr>
        <w:spacing w:line="240" w:lineRule="auto"/>
        <w:ind w:firstLine="432"/>
        <w:jc w:val="both"/>
      </w:pPr>
      <w:r>
        <w:rPr>
          <w:rFonts w:ascii="Times New Roman" w:hAnsi="Times New Roman" w:eastAsia="宋体"/>
          <w:b w:val="0"/>
          <w:sz w:val="24"/>
        </w:rPr>
        <w:t>In Agricultural areas a request can be made for a below ground marker. For a below ground marker the operator must file their request on a C-103 notice of intent, and it must include the following;</w:t>
      </w:r>
    </w:p>
    <w:p>
      <w:pPr>
        <w:spacing w:line="240" w:lineRule="auto"/>
        <w:ind w:firstLine="432"/>
        <w:jc w:val="both"/>
      </w:pPr>
      <w:r>
        <w:rPr>
          <w:rFonts w:ascii="Times New Roman" w:hAnsi="Times New Roman" w:eastAsia="宋体"/>
          <w:b w:val="0"/>
          <w:sz w:val="24"/>
        </w:rPr>
        <w:t>A) Aerial photo showing the agricultural area</w:t>
      </w:r>
    </w:p>
    <w:p>
      <w:pPr>
        <w:spacing w:line="240" w:lineRule="auto"/>
        <w:ind w:firstLine="432"/>
        <w:jc w:val="both"/>
      </w:pPr>
      <w:r>
        <w:rPr>
          <w:rFonts w:ascii="Times New Roman" w:hAnsi="Times New Roman" w:eastAsia="宋体"/>
          <w:b w:val="0"/>
          <w:sz w:val="24"/>
        </w:rPr>
        <w:t>B) Request from the landowner for the below ground marker.</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Page 5 of 22</w:t>
    </w:r>
  </w:p>
  <w:p>
    <w:pPr>
      <w:jc w:val="center"/>
    </w:pPr>
    <w:r>
      <w:rPr>
        <w:rFonts w:ascii="Times New Roman" w:hAnsi="Times New Roman" w:eastAsia="宋体"/>
      </w:rPr>
      <w:t>Released to Imaging: 5/20/2026 1:11:31 PM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Received by OCD: 4/23/2026 11:06:25 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