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Figure D1 and D2</w:t>
      </w:r>
    </w:p>
    <w:p>
      <w:pPr>
        <w:spacing w:line="240" w:lineRule="auto"/>
        <w:ind w:firstLine="432"/>
        <w:jc w:val="both"/>
      </w:pPr>
      <w:r>
        <w:rPr>
          <w:rFonts w:ascii="Times New Roman" w:hAnsi="Times New Roman" w:eastAsia="宋体"/>
          <w:b w:val="0"/>
          <w:sz w:val="24"/>
        </w:rPr>
        <w:t>South (Hobbs) Formations to be isolated with cement plugs are:</w:t>
      </w:r>
    </w:p>
    <w:p>
      <w:pPr>
        <w:spacing w:line="240" w:lineRule="auto"/>
        <w:ind w:firstLine="432"/>
        <w:jc w:val="both"/>
      </w:pPr>
      <w:r>
        <w:rPr>
          <w:rFonts w:ascii="Times New Roman" w:hAnsi="Times New Roman" w:eastAsia="宋体"/>
          <w:b w:val="0"/>
          <w:sz w:val="24"/>
        </w:rPr>
        <w:t>The plugging requirements in the Hobbs Area are based on the well location within specific areas of the Area (See Figure D1). The Formations in the Hobbs Area to be isolated with cement plugs are (see Figure D2)</w:t>
      </w:r>
    </w:p>
    <w:p>
      <w:pPr>
        <w:spacing w:line="240" w:lineRule="auto"/>
        <w:jc w:val="center"/>
      </w:pPr>
      <w:r>
        <w:rPr>
          <w:rFonts w:ascii="Times New Roman" w:hAnsi="Times New Roman" w:eastAsia="宋体"/>
          <w:b w:val="0"/>
          <w:sz w:val="20"/>
        </w:rPr>
        <w:t>Figure D1 Map</w:t>
      </w:r>
    </w:p>
    <w:p>
      <w:pPr>
        <w:jc w:val="center"/>
      </w:pPr>
      <w:r>
        <w:drawing>
          <wp:inline xmlns:a="http://schemas.openxmlformats.org/drawingml/2006/main" xmlns:pic="http://schemas.openxmlformats.org/drawingml/2006/picture">
            <wp:extent cx="2627175" cy="3999300"/>
            <wp:docPr id="1" name="Picture 1"/>
            <wp:cNvGraphicFramePr>
              <a:graphicFrameLocks noChangeAspect="1"/>
            </wp:cNvGraphicFramePr>
            <a:graphic>
              <a:graphicData uri="http://schemas.openxmlformats.org/drawingml/2006/picture">
                <pic:pic>
                  <pic:nvPicPr>
                    <pic:cNvPr id="0" name="img_in_chart_box_359_627_920_1481.jpg"/>
                    <pic:cNvPicPr/>
                  </pic:nvPicPr>
                  <pic:blipFill>
                    <a:blip r:embed="rId11"/>
                    <a:stretch>
                      <a:fillRect/>
                    </a:stretch>
                  </pic:blipFill>
                  <pic:spPr>
                    <a:xfrm>
                      <a:off x="0" y="0"/>
                      <a:ext cx="2627175" cy="3999300"/>
                    </a:xfrm>
                    <a:prstGeom prst="rect"/>
                  </pic:spPr>
                </pic:pic>
              </a:graphicData>
            </a:graphic>
          </wp:inline>
        </w:drawing>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9 of 22</w:t>
    </w:r>
  </w:p>
  <w:p>
    <w:pPr>
      <w:jc w:val="center"/>
    </w:pPr>
    <w:r>
      <w:rPr>
        <w:rFonts w:ascii="Times New Roman" w:hAnsi="Times New Roman" w:eastAsia="宋体"/>
      </w:rPr>
      <w:t>Released to Imaging: 5/20/2026 1:11:31 PM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Received by OCD: 4/23/2026 11:06:25 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