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/>
          <w:b/>
          <w:color w:val="1E3A8A"/>
          <w:sz w:val="44"/>
        </w:rPr>
        <w:t>區塊鏈  API 說明書</w:t>
      </w:r>
    </w:p>
    <w:p>
      <w:pPr>
        <w:spacing w:after="80" w:before="0"/>
        <w:jc w:val="center"/>
      </w:pPr>
      <w:r>
        <w:rPr>
          <w:rFonts w:ascii="Microsoft JhengHei" w:hAnsi="Microsoft JhengHei"/>
          <w:color w:val="475569"/>
          <w:sz w:val="22"/>
        </w:rPr>
        <w:t>版本：V3  |  更新日期：2026/10/15</w:t>
      </w:r>
    </w:p>
    <w:p>
      <w:pPr>
        <w:spacing w:after="240" w:before="0"/>
        <w:jc w:val="center"/>
      </w:pPr>
      <w:r>
        <w:rPr>
          <w:rFonts w:ascii="Microsoft JhengHei" w:hAnsi="Microsoft JhengHei"/>
          <w:b/>
          <w:color w:val="DC2626"/>
          <w:sz w:val="22"/>
        </w:rPr>
        <w:t>（紅色字體標示為相較於 V2 (區塊鏈 API说明書_20261001_Le_V2.docx) 版本新增與變更之項目）</w:t>
      </w:r>
    </w:p>
    <w:p>
      <w:pPr>
        <w:spacing w:after="320"/>
        <w:pBdr>
          <w:bottom w:val="single" w:sz="14" w:space="1" w:color="1E3A8A"/>
        </w:pBdr>
      </w:pPr>
    </w:p>
    <w:p>
      <w:pPr>
        <w:spacing w:before="360" w:after="200"/>
      </w:pPr>
      <w:r>
        <w:rPr>
          <w:rFonts w:ascii="Microsoft JhengHei" w:hAnsi="Microsoft JhengHei"/>
          <w:b/>
          <w:color w:val="1E3A8A"/>
          <w:sz w:val="32"/>
        </w:rPr>
        <w:t>一、 全域通用設定與資安架構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本說明書提供前端工程師與中央監控 (SC) 系統整合者參考，說明與 abci-v2-Identity-app 區塊鏈伺服器進行人員身分與監控資料對接時所使用的 /did/* 所有 API 介面定義與資安規範。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1. AES-256 資料加密上鏈機制 (Data Privacy &amp; Encryption)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為確保機敏隱私資料不直接裸洩上鏈，前端與 SC 系統發送上鏈請求時，必須將原始 JSON 物件進行 AES-256 加密，並將加密後之密文封包帶入 document 欄位。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AES Key 保管原則： AES Key 由 SC/前端端點自行保管，嚴禁傳送給區塊鏈平台。區塊鏈僅保存 AES-256 加密密文與交易 Hash。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驗證與解密還原流程： 當需要驗證或追查歷史資料時，授權端依 Tx Hash 取得鏈上紀錄，再透過 SC 保管之 AES Key 解密還原原始 JSON 並進行 JSON Diff 差異比對。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2. 基底位址 (Base URL)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API 服務位址由後端代理伺服器動態提供，常見網路進入點如下：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本地開發 / Web Proxy 代理位址： http://localhost:3166  (由 server.js 進行多節點轉發)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ngrok 外部代理位址： https://repeater-passover-blurb.ngrok-free.dev/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3. 安全驗證與 Token 取得方式 (Authentication)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API 請求採用 Bearer Token 機制進行權限驗證。前端於調用 /did/* 介面前，須先透過 Server List API 取得有效的認證 Token：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Token 取得 API (GET)： https://repeater-passover-blurb.ngrok-free.dev/api/appservers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取得 Token 後，後續 API 請求需於 HTTP Header 中帶入：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Authorization: Bearer &lt;YOUR_TOKEN&gt;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Content-Type: application/json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【Token API 回應 JSON 實例 (200 OK)】：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  <w:br/>
              <w:t xml:space="preserve">  "success": true,</w:t>
              <w:br/>
              <w:t xml:space="preserve">  "data":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"server": "node1",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"token": "d007f847de67c01ef1c44734972fc73a2a7b539f5d3c7cba6057dad637ee57bc"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"server": "node2",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"token": "f64d090d0d2a5d703501abf0c1e24943505a2eb9819554a2068c51faf4de2d2c"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• 規格變更說明： server 欄位由原先實體 IP:Port 網址統一改為邏輯節點代號（如 "node1"、"node2"），消除對實體 IP 的相依性。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【Token 有效期限與過期處理】：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• Token 由區塊鏈節點管理，具有有效期限。節點重啟後舊 Token 立即失效。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• 當 API 回傳 {"code": 401, "message": "Token is invalid or expired"} 時，代表 Token 已失效。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• 處理方式：前端應重新呼叫 /api/appservers 取得最新 Token，再重送原始請求（建議實作自動 Retry 機制）。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• 實務建議：頁面長時間未操作後（如超過 30 分鐘），應主動刷新 Token 再執行查詢。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4. 內容格式 (Content-Type)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所有使用 Request Body 的 POST API，其資料格式均為 JSON，HTTP Header 應設為 Application/JSON。</w:t>
      </w:r>
    </w:p>
    <w:p>
      <w:pPr>
        <w:spacing w:before="360" w:after="200"/>
      </w:pPr>
      <w:r>
        <w:rPr>
          <w:rFonts w:ascii="Microsoft JhengHei" w:hAnsi="Microsoft JhengHei"/>
          <w:b/>
          <w:color w:val="1E3A8A"/>
          <w:sz w:val="32"/>
        </w:rPr>
        <w:t>二、 DID 業務介面明細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【節點路由機制說明】：所有 /did/* 業務介面依據 HTTP Header 中傳入之 Authorization: Bearer &lt;Token&gt; 由伺服器自動分流至所屬區塊鏈節點執行，無需附加額外網址參數。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1. 新增人員身分 (Create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在區塊鏈帳本上記錄一筆全新的人員身分檔案。若該 ID 在鏈上已存在，將返回錯誤訊息。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/did/create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欄位名稱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資料型態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必填</w:t>
            </w:r>
          </w:p>
        </w:tc>
        <w:tc>
          <w:tcPr>
            <w:tcW w:type="dxa" w:w="48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說明與範例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id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身分唯一識別碼 格式：名稱:類型:時間戳 (例如: user:new:20260701_1550000000)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document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Object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經 AES-256 加密後之密文 JSON 物件 (如: {"ciphertext": "..."})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hashcode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文件校驗碼/雜湊值 (預設傳空字串 "")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revoked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Boolean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註銷標記 (新增時固定傳入 false)</w:t>
            </w:r>
          </w:p>
        </w:tc>
      </w:tr>
    </w:tbl>
    <w:p>
      <w:pPr>
        <w:spacing w:after="16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Request Body 範例 (AES-256 加密密文封包)：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"ciphertext": "ij8U6798ALDlnzRY1U2FsdGVkX19x8Z2V9kL3p0..."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【解密前/後資料對照說明】：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鏈上存證密文 (document)： {"ciphertext": "ij8U6798ALDlnzRY1U2FsdGVkX19x8Z2V9kL3p0..."}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• SC 授權解密後原始 JSON： {"name":"王小明", "gender":"男", "department":"研發部", "hireDate":"2026-07-01", "status":"在職"}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"hash": "B03E5E7CD5424265F767F61E8DFBA7BDC9FB716074C5603A4F44F3A33DF9BD4A"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OK，返回 error 說明)：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"identity already exist"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2. 修改人員身分 (Update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修改已存在於區塊鏈上的人員身分檔案。ID 必須已存在於鏈上，否則返回錯誤。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/did/update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Request Body 範例 (AES-256 加密密文封包)：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"ciphertext": "ij8U6798ALDlnzRY1FF3E5E7CD5424265F767..."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"hash": "FF3E5E7CD5424265F767F61E8DFBA7BDC9FB716074C5603A4F44F3A33DF9BDD0"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"'user:new:20260701_1550000000' not exist"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3. 讀取人員身分 (Load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根據傳入的 ID 列表，批次讀取區塊鏈上記錄的最新身分檔案 (單次查詢上限 100 筆)。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/did/load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欄位名稱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資料型態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必填</w:t>
            </w:r>
          </w:p>
        </w:tc>
        <w:tc>
          <w:tcPr>
            <w:tcW w:type="dxa" w:w="47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說明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ids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Array[String]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欲查詢之身分 ID 陣列</w:t>
            </w:r>
          </w:p>
        </w:tc>
      </w:tr>
    </w:tbl>
    <w:p>
      <w:pPr>
        <w:spacing w:after="16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Request Body 範例：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"ids":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"user:new:20260701_1550000000"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OK，包含 AES-256 加密 document 密文)：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"value":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  "ciphertext": "ij8U6798ALDlnzRY1U2FsdGVkX19x8Z2V9kL3p0..."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"invalid param: ids are required"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4. 搜尋人員身分 (Search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依據 ID 前綴與時間區間進行條件搜尋。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/did/search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欄位名稱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資料型態</w:t>
            </w:r>
          </w:p>
        </w:tc>
        <w:tc>
          <w:tcPr>
            <w:tcW w:type="dxa" w:w="10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必填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預設值</w:t>
            </w:r>
          </w:p>
        </w:tc>
        <w:tc>
          <w:tcPr>
            <w:tcW w:type="dxa" w:w="417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說明與格式範例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prefix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""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ID 前綴 (允許帶空字串代表不限前綴)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startTime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-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起始時間 yyyyMMdd_hhmmss (例如: 20260701_000000)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endTime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是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-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結束時間 yyyyMMdd_hhmmss (例如: 20260701_235959)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order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String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"desc"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排序方向: "desc" (降序) 或 "asc" (升序)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0F172A"/>
                <w:sz w:val="24"/>
              </w:rPr>
              <w:t>limit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Integer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否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100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color w:val="0F172A"/>
                <w:sz w:val="24"/>
              </w:rPr>
              <w:t>單頁查詢筆數上限 (1 ~ 10000)</w:t>
            </w:r>
          </w:p>
        </w:tc>
      </w:tr>
    </w:tbl>
    <w:p>
      <w:pPr>
        <w:spacing w:after="16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Request Body 範例：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"prefix": "user:new:",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"startTime": "20260701_000000",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"endTime": "20260701_235959",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"order": "desc",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"limit": 100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"value":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  "ciphertext": "ij8U6798ALDlnzRY1U2FsdGVkX19x8Z2V9kL3p0..."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"bookmark": "user:new:20260701_1550000000"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"startTime and endTime are required"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5. 註銷 / 刪除人員身分 (Revoke Identity)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根據 URL 路徑中的身分 ID 執行軟刪除。註銷後資料仍於鏈上留存歷史紀錄，但 revoked 標記將設為 true。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DELETE /did/revoke/:id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（無 Request Body，ID 直接帶在路徑中，例如： /did/revoke/user:new:20260701_1550000000）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"hash": "D4AC7AFE9A10DBC34F08798C913367FCDBC3013947A5B1AA01BE512EDC8833CC"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失敗回應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"error": "'user:new:20260701_1550000000' already revoked"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6. 依交易 Hash 查詢 (Get Tx by Hash)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根據交易 Hash 批次查詢區塊鏈底層寫入的原始交易與區塊明細數據。後端支援 POST Body 傳參及 GET URL 傳參。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/did/tx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GET /did/tx/:hashes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POST Request Body 範例：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"hashes":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"723E8B447C9BB00180C0DB6C796145D20D5459ED312EA00E728B2A9F153F071B",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"D4AC7AFE9A10DBC34F08798C913367FCDBC3013947A5B1AA01BE512EDC8833CC"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GET 傳參範例 (多筆以 | 分隔)： /did/tx/723E8B447C9BB...|D4AC7AFE9A10D...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OK，raw_data 內含鏈上 AES-256 加密 document)：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"723E8B447C9BB00180C0DB6C796145D20D5459ED312EA00E728B2A9F153F071B":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"raw_data":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"id": "user:new:20260701_1550000000",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"revoked": false,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"hashcode": "",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"document":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  "ciphertext": "ij8U6798ALDlnzRY1U2FsdGVkX19x8Z2V9kL3p0..."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360" w:after="200"/>
      </w:pPr>
      <w:r>
        <w:rPr>
          <w:rFonts w:ascii="Microsoft JhengHei" w:hAnsi="Microsoft JhengHei"/>
          <w:b/>
          <w:color w:val="1E3A8A"/>
          <w:sz w:val="32"/>
        </w:rPr>
        <w:t>三、 系統擴充與健康監控 API</w:t>
      </w:r>
    </w:p>
    <w:p>
      <w:pPr>
        <w:spacing w:before="280" w:after="160"/>
      </w:pPr>
      <w:r>
        <w:rPr>
          <w:rFonts w:ascii="Microsoft JhengHei" w:hAnsi="Microsoft JhengHei"/>
          <w:b/>
          <w:color w:val="475569"/>
          <w:sz w:val="28"/>
        </w:rPr>
        <w:t>1. 儲存空間與硬碟監控 (Storage Size)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供管理平台儀表板查詢目前區塊鏈資料庫佔用空間與硬碟剩餘容量。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GET /api/storagesize</w:t>
      </w:r>
    </w:p>
    <w:p>
      <w:pPr>
        <w:spacing w:before="0" w:after="120" w:line="288" w:lineRule="auto"/>
      </w:pPr>
      <w:r>
        <w:rPr>
          <w:rFonts w:ascii="Microsoft JhengHei" w:hAnsi="Microsoft JhengHei"/>
          <w:color w:val="0F172A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{</w:t>
              <w:br/>
              <w:t xml:space="preserve">  "success": true,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"nodes": 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"nodeId": "node1",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"nodeName": "node1",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"hostName": "VM-Node1",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"location": "127.0.0.1",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"diskTotal": "68.83 GB",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"diskFree": "23.05 GB",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"chainDataSize": "2178.32 MB",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"totalChainnodeSize": "2180.83 MB"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"nodeId": "node2",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"nodeName": "node2",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"hostName": "Host-PC",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"location": "192.168.171.43",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"diskTotal": "237.44 GB",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"diskFree": "55.26 GB",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"chainDataSize": "2178.32 MB",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  "totalChainnodeSize": "2177.92 MB"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]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color w:val="1E293B"/>
                <w:sz w:val="24"/>
              </w:rPr>
              <w:t>}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Microsoft JhengHei" w:hAnsi="Microsoft JhengHei"/>
          <w:b/>
          <w:color w:val="DC2626"/>
          <w:sz w:val="28"/>
        </w:rPr>
        <w:t>2. 全節點狀態查詢 (All Nodes Status)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一次查詢全部節點的 CometBFT 連線狀態、最新區塊高度、Block Hash、時間與硬碟用量。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GET /nodes/status</w:t>
      </w: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成功回應 (200 OK)：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14" w:space="0" w:color="EF4444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[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"nodeId": "node1",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"online": true,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"latestBlockHeight": 128536,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"latestBlockHash": "4796E76F...AC0A29",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"latestBlockTime": "2026-10-02T10:45:08.706Z",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"disk": { "totalBytes": 73909923840, "usedBytes": 49163845632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},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{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"nodeId": "node2",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"online": true,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"latestBlockHeight": 128536,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"latestBlockHash": "4796E76F...AC0A29",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"latestBlockTime": "2026-10-02T10:45:08.706Z",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  "disk": { "totalBytes": 254944473088, "usedBytes": 195677028352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]</w:t>
            </w:r>
          </w:p>
        </w:tc>
      </w:tr>
    </w:tbl>
    <w:p>
      <w:pPr>
        <w:spacing w:after="120"/>
      </w:pPr>
    </w:p>
    <w:p>
      <w:pPr>
        <w:spacing w:before="0" w:after="120" w:line="288" w:lineRule="auto"/>
      </w:pPr>
      <w:r>
        <w:rPr>
          <w:rFonts w:ascii="Microsoft JhengHei" w:hAnsi="Microsoft JhengHei"/>
          <w:b/>
          <w:color w:val="DC2626"/>
          <w:sz w:val="24"/>
        </w:rPr>
        <w:t>【回應欄位說明】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CA5A5"/>
          <w:bottom w:val="single" w:sz="6" w:space="0" w:color="FCA5A5"/>
          <w:insideH w:val="single" w:sz="4" w:space="0" w:color="FEE2E2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B91C1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欄位</w:t>
            </w:r>
          </w:p>
        </w:tc>
        <w:tc>
          <w:tcPr>
            <w:tcW w:type="dxa" w:w="1728"/>
            <w:shd w:fill="B91C1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型別</w:t>
            </w:r>
          </w:p>
        </w:tc>
        <w:tc>
          <w:tcPr>
            <w:tcW w:type="dxa" w:w="5184"/>
            <w:shd w:fill="B91C1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icrosoft JhengHei" w:hAnsi="Microsoft JhengHei"/>
                <w:b/>
                <w:color w:val="FFFFFF"/>
                <w:sz w:val="24"/>
              </w:rPr>
              <w:t>說明</w:t>
            </w:r>
          </w:p>
        </w:tc>
      </w:tr>
      <w:tr>
        <w:tc>
          <w:tcPr>
            <w:tcW w:type="dxa" w:w="28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nodeId</w:t>
            </w:r>
          </w:p>
        </w:tc>
        <w:tc>
          <w:tcPr>
            <w:tcW w:type="dxa" w:w="1728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String</w:t>
            </w:r>
          </w:p>
        </w:tc>
        <w:tc>
          <w:tcPr>
            <w:tcW w:type="dxa" w:w="518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節點識別碼 (node1 / node2)</w:t>
            </w:r>
          </w:p>
        </w:tc>
      </w:tr>
      <w:tr>
        <w:tc>
          <w:tcPr>
            <w:tcW w:type="dxa" w:w="288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online</w:t>
            </w:r>
          </w:p>
        </w:tc>
        <w:tc>
          <w:tcPr>
            <w:tcW w:type="dxa" w:w="1728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Boolean</w:t>
            </w:r>
          </w:p>
        </w:tc>
        <w:tc>
          <w:tcPr>
            <w:tcW w:type="dxa" w:w="518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節點是否在線，離線時其餘欄位均為 null</w:t>
            </w:r>
          </w:p>
        </w:tc>
      </w:tr>
      <w:tr>
        <w:tc>
          <w:tcPr>
            <w:tcW w:type="dxa" w:w="28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latestBlockHeight</w:t>
            </w:r>
          </w:p>
        </w:tc>
        <w:tc>
          <w:tcPr>
            <w:tcW w:type="dxa" w:w="1728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Integer|null</w:t>
            </w:r>
          </w:p>
        </w:tc>
        <w:tc>
          <w:tcPr>
            <w:tcW w:type="dxa" w:w="518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最新區塊高度</w:t>
            </w:r>
          </w:p>
        </w:tc>
      </w:tr>
      <w:tr>
        <w:tc>
          <w:tcPr>
            <w:tcW w:type="dxa" w:w="288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latestBlockHash</w:t>
            </w:r>
          </w:p>
        </w:tc>
        <w:tc>
          <w:tcPr>
            <w:tcW w:type="dxa" w:w="1728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String|null</w:t>
            </w:r>
          </w:p>
        </w:tc>
        <w:tc>
          <w:tcPr>
            <w:tcW w:type="dxa" w:w="518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最新區塊 Hash</w:t>
            </w:r>
          </w:p>
        </w:tc>
      </w:tr>
      <w:tr>
        <w:tc>
          <w:tcPr>
            <w:tcW w:type="dxa" w:w="28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latestBlockTime</w:t>
            </w:r>
          </w:p>
        </w:tc>
        <w:tc>
          <w:tcPr>
            <w:tcW w:type="dxa" w:w="1728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String|null</w:t>
            </w:r>
          </w:p>
        </w:tc>
        <w:tc>
          <w:tcPr>
            <w:tcW w:type="dxa" w:w="518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最新區塊時間（ISO 8601 UTC）</w:t>
            </w:r>
          </w:p>
        </w:tc>
      </w:tr>
      <w:tr>
        <w:tc>
          <w:tcPr>
            <w:tcW w:type="dxa" w:w="288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disk.totalBytes</w:t>
            </w:r>
          </w:p>
        </w:tc>
        <w:tc>
          <w:tcPr>
            <w:tcW w:type="dxa" w:w="1728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Integer</w:t>
            </w:r>
          </w:p>
        </w:tc>
        <w:tc>
          <w:tcPr>
            <w:tcW w:type="dxa" w:w="518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磁碟總容量（Bytes）</w:t>
            </w:r>
          </w:p>
        </w:tc>
      </w:tr>
      <w:tr>
        <w:tc>
          <w:tcPr>
            <w:tcW w:type="dxa" w:w="2880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disk.usedBytes</w:t>
            </w:r>
          </w:p>
        </w:tc>
        <w:tc>
          <w:tcPr>
            <w:tcW w:type="dxa" w:w="1728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Integer</w:t>
            </w:r>
          </w:p>
        </w:tc>
        <w:tc>
          <w:tcPr>
            <w:tcW w:type="dxa" w:w="5184"/>
            <w:shd w:fill="FF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/>
                <w:b/>
                <w:color w:val="DC2626"/>
                <w:sz w:val="24"/>
              </w:rPr>
              <w:t>已使用容量（Bytes）— 管理平台可自行計算容量百分比（&gt;80% 黃色警示 / &gt;90% 紅色警告）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