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AI Platform 模組化架構與開發治理原則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v1.1｜營運韌性與核心流程備援更新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版本：v1.1｜狀態：架構治理更新版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本版更新重點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新增正式營運核心流程不得單一黑盒依賴之架構原則</w:t>
            </w:r>
          </w:p>
        </w:tc>
      </w:tr>
    </w:tbl>
    <w:p/>
    <w:p>
      <w:pPr>
        <w:pStyle w:val="Heading1"/>
      </w:pPr>
      <w:r>
        <w:t>1. 本版新增核心原則</w:t>
      </w:r>
    </w:p>
    <w:p>
      <w:r>
        <w:rPr>
          <w:rFonts w:ascii="Noto Sans CJK TC" w:hAnsi="Noto Sans CJK TC" w:eastAsia="Noto Sans CJK TC"/>
          <w:b w:val="0"/>
          <w:sz w:val="20"/>
        </w:rPr>
        <w:t>凡屬正式營運核心流程，不得只有單一平台黑盒依賴，必須至少具備人工 fallback、替代 provider、事件紀錄與恢復流程。</w:t>
      </w:r>
    </w:p>
    <w:p>
      <w:pPr>
        <w:pStyle w:val="Heading1"/>
      </w:pPr>
      <w:r>
        <w:t>2. 核心流程分級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風險等級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最低備援要求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表單提交與名單存入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資料必須存入資料庫；若通知失敗仍可人工查詢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通知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至少一個 fallback provider 或 manual resend 機制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Referral 歸因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需保留 source_url、referral_code、utm 與人工校正能力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付款 / 訂閱狀態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不得只依賴單一自動化事件；需人工覆核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客戶預約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需具備手動確認與通知補發流程</w:t>
            </w:r>
          </w:p>
        </w:tc>
      </w:tr>
    </w:tbl>
    <w:p/>
    <w:p>
      <w:pPr>
        <w:pStyle w:val="Heading1"/>
      </w:pPr>
      <w:r>
        <w:t>3. Provider Adapter 架構方向</w:t>
      </w:r>
    </w:p>
    <w:p>
      <w:r>
        <w:rPr>
          <w:rFonts w:ascii="Noto Sans CJK TC" w:hAnsi="Noto Sans CJK TC" w:eastAsia="Noto Sans CJK TC"/>
          <w:b w:val="0"/>
          <w:sz w:val="20"/>
        </w:rPr>
        <w:t>Email Notification Module 應逐步從單一 sendEmail 寫法，改為 Notification Provider Adapter 架構。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Primary Provider：現有 Lovable / Mailgun pipeline。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Fallback Provider：Resend、ZeptoMail、Postmark 或 SMTP。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Manual Provider：人工 resend 或備援工具。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Provider Log：每次發送需記錄 provider、response、status、error。</w:t>
      </w:r>
    </w:p>
    <w:p>
      <w:pPr>
        <w:pStyle w:val="Heading1"/>
      </w:pPr>
      <w:r>
        <w:t>4. Lovable / Replit / Claude Code / Codex 分工更新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工具層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啟用時機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Lovable / Replit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快速 MVP、後台、內部工具、一般 debug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 到 1、驗證產品可行性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Claude Code / Codex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深度 codebase 審查、重構、測試、複雜 bug、PR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核心流程中斷、跨多檔案風險、正式營運前審查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n8n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文件與流程自動化、Support KB、通知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建立治理流程與日常自動化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GitHub Actions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測試、部署、文件索引與 Release 自動化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進入正式 repo 管理後</w:t>
            </w:r>
          </w:p>
        </w:tc>
      </w:tr>
    </w:tbl>
    <w:p/>
    <w:p>
      <w:pPr>
        <w:pStyle w:val="Heading1"/>
      </w:pPr>
      <w:r>
        <w:t>5. 不立即重做原則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遇到外部 Support 延遲時，不應立刻全面重做。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應保留現有主線等待根因，同時啟動獨立 fallback POC。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任何替代方案必須通過測試、文件化、風險評估與人工核准。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v1.2 增補：主 PRD 與模組層級治理規則</w:t>
      </w:r>
    </w:p>
    <w:p>
      <w:r>
        <w:rPr>
          <w:rFonts w:ascii="Noto Sans TC" w:hAnsi="Noto Sans TC" w:eastAsia="Noto Sans TC"/>
          <w:b w:val="0"/>
        </w:rPr>
        <w:t>版本註記：修正 Nexus Lead Ops 不得被視為整體平台母體；補充 Level 0-4 命名層級。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hashare_ai_命名層級架構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C" w:hAnsi="Noto Sans TC" w:eastAsia="Noto Sans TC"/>
          <w:b w:val="0"/>
          <w:color w:val="666666"/>
          <w:sz w:val="18"/>
        </w:rPr>
        <w:t>圖：LOHAShare AI Platform 命名層級架構圖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