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FF8405"/>
          <w:sz w:val="40"/>
        </w:rPr>
        <w:t>LOHAShare AI Platform Current Folder Structure v1.5</w:t>
      </w:r>
    </w:p>
    <w:p>
      <w:pPr>
        <w:jc w:val="center"/>
      </w:pPr>
      <w:r>
        <w:rPr>
          <w:rFonts w:ascii="Noto Sans CJK TC" w:hAnsi="Noto Sans CJK TC"/>
          <w:sz w:val="22"/>
        </w:rPr>
        <w:t>Phase 1 Folder Reorganization Completion Update</w:t>
      </w:r>
    </w:p>
    <w:p>
      <w:pPr>
        <w:jc w:val="center"/>
      </w:pPr>
      <w:r>
        <w:rPr>
          <w:rFonts w:ascii="Noto Sans CJK TC" w:hAnsi="Noto Sans CJK TC"/>
          <w:sz w:val="18"/>
        </w:rPr>
        <w:t>日期：2026-06-01｜狀態：Draft for Review｜階段：Folder Reorganization Phase 1 Completion</w:t>
      </w:r>
    </w:p>
    <w:p/>
    <w:p>
      <w:pPr>
        <w:pStyle w:val="Heading1"/>
      </w:pPr>
      <w:r>
        <w:rPr>
          <w:rFonts w:ascii="Noto Sans CJK TC" w:hAnsi="Noto Sans CJK TC"/>
          <w:color w:val="FF8405"/>
        </w:rPr>
        <w:t>一、文件目的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本文件記錄 LOHAShare_AI_Platform 於 Folder Reorganization Phase 1 完成後的資料夾結構基準。此版本作為後續跨對話、GitHub Actions、自動化打包與文件治理判斷的最新參考。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本文件不是產品功能規格，而是資料夾治理基準。若未來不同對話或工具產生分類衝突，應先以本文件與 GitHub 實際結構為準。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二、Phase 1 已完成重整的根目錄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根目錄</w:t>
            </w:r>
          </w:p>
        </w:tc>
        <w:tc>
          <w:tcPr>
            <w:tcW w:type="dxa" w:w="2613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狀態</w:t>
            </w:r>
          </w:p>
        </w:tc>
        <w:tc>
          <w:tcPr>
            <w:tcW w:type="dxa" w:w="2613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治理模型</w:t>
            </w:r>
          </w:p>
        </w:tc>
        <w:tc>
          <w:tcPr>
            <w:tcW w:type="dxa" w:w="2613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自動化檢查</w:t>
            </w:r>
          </w:p>
        </w:tc>
      </w:tr>
      <w:tr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01_Architecture_Governance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完成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主題分類 + Current / 99_Archive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已納入 docs-governance-check.yml v0.2+</w:t>
            </w:r>
          </w:p>
        </w:tc>
      </w:tr>
      <w:tr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00_Index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完成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Current / 99_Archive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已納入 docs-governance-check.yml v0.3+</w:t>
            </w:r>
          </w:p>
        </w:tc>
      </w:tr>
      <w:tr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00_Main_PRD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完成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Current / 99_Archive / v2_Clean_Version_Workspace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已納入 docs-governance-check.yml v0.4+</w:t>
            </w:r>
          </w:p>
        </w:tc>
      </w:tr>
      <w:tr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05_Developer_Prompts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完成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依 Prompt 類別建立 Current / 99_Archive</w:t>
            </w:r>
          </w:p>
        </w:tc>
        <w:tc>
          <w:tcPr>
            <w:tcW w:type="dxa" w:w="2613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已納入 docs-governance-check.yml v0.5</w:t>
            </w:r>
          </w:p>
        </w:tc>
      </w:tr>
    </w:tbl>
    <w:p/>
    <w:p>
      <w:pPr>
        <w:pStyle w:val="Heading1"/>
      </w:pPr>
      <w:r>
        <w:rPr>
          <w:rFonts w:ascii="Noto Sans CJK TC" w:hAnsi="Noto Sans CJK TC"/>
          <w:color w:val="FF8405"/>
        </w:rPr>
        <w:t>三、Phase 1 後的主要結構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00_Index 採 Current / 99_Archive，主層只保留 README.md。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00_Main_PRD 採 Current / 99_Archive / v2_Clean_Version_Workspace，主層只保留 README.md。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01_Architecture_Governance 採主題分類，每個主題下設 Current / 99_Archive。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05_Developer_Prompts 採 Prompt 類別分類，每個類別下設 Current / 99_Archive。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07_Archive/Package_Export 用於保存搬移工具、搬移對照表、一次性 ZIP 與執行紀錄。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四、尚未進入 Phase 1 重整的根目錄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根目錄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目前策略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備註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02_Modules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逐模組評估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不可直接套用單一 Current / Archive；規格、測試、截圖、決策紀錄需分別治理。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03_SOP_and_QA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暫維持現狀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待 SOP 數量增加後再分層。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04_Support_Knowledge_Base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需採事件流程治理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不適合純版本治理，應依 Ticket / Incident / Known Issue / Resolved 管理。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06_Release_Notes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時間序列管理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Release Note 本身即按版本與日期排列。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07_Archive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平台級封存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不再建立複雜 Current / Archive 結構。</w:t>
            </w:r>
          </w:p>
        </w:tc>
      </w:tr>
    </w:tbl>
    <w:p/>
    <w:sectPr w:rsidR="00FC693F" w:rsidRPr="0006063C" w:rsidSect="00034616">
      <w:pgSz w:w="12240" w:h="15840"/>
      <w:pgMar w:top="936" w:right="893" w:bottom="936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