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4"/>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color w:val="C9211E"/>
        </w:rPr>
        <w:t>https://juejin.cn/s/opencv%20%E5%9B%BE%E5%83%8F%E5%9D%90%E6%A0%87%E8%BD%AC%E6%8D%A2%E7%8E%B0%E5%AE%9E%E5%9D%90%E6%A0%87</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character" w:styleId="Style14">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5">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2925</TotalTime>
  <Application>LibreOffice/7.3.7.2$Linux_X86_64 LibreOffice_project/30$Build-2</Application>
  <AppVersion>15.0000</AppVersion>
  <Pages>11</Pages>
  <Words>1591</Words>
  <Characters>8401</Characters>
  <CharactersWithSpaces>8982</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2023-06-07T15:54:54Z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