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rFonts w:ascii="Times New Roman" w:hAnsi="Times New Roman"/>
          <w:color w:val="000000"/>
          <w:sz w:val="22"/>
        </w:rPr>
        <w:t>A contiguous-U.S. benchmark defines river thermal response with three coordinates.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Reservoir regulation rotates response geometry across peaks, events and burden.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Flow-aware sensitivity retains the tailwater contrast across 2,841 gauge-years.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Tailwater stations show the highest observed warm burden in the national sample.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Antecedent storage lowers annual tailwater peaks in an 18-reservoir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