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2DD7" w14:textId="77777777" w:rsidR="007A6780" w:rsidRDefault="007A6780" w:rsidP="001B728D">
      <w:pPr>
        <w:spacing w:line="480" w:lineRule="auto"/>
      </w:pPr>
    </w:p>
    <w:p w14:paraId="2F4BDE6A" w14:textId="77777777" w:rsidR="007A6780" w:rsidRDefault="007A6780" w:rsidP="001B728D">
      <w:pPr>
        <w:spacing w:line="480" w:lineRule="auto"/>
      </w:pPr>
    </w:p>
    <w:p w14:paraId="0E16CB83" w14:textId="77777777" w:rsidR="007A6780" w:rsidRDefault="007A6780" w:rsidP="001B728D">
      <w:pPr>
        <w:spacing w:line="480" w:lineRule="auto"/>
      </w:pPr>
    </w:p>
    <w:p w14:paraId="7C2E4141" w14:textId="77777777" w:rsidR="00856886" w:rsidRDefault="00856886" w:rsidP="001B728D">
      <w:pPr>
        <w:spacing w:line="480" w:lineRule="auto"/>
      </w:pPr>
    </w:p>
    <w:p w14:paraId="55735198" w14:textId="764CD7C4" w:rsidR="00BC6FDF" w:rsidRDefault="00856886" w:rsidP="001B728D">
      <w:pPr>
        <w:spacing w:line="480" w:lineRule="auto"/>
        <w:jc w:val="center"/>
        <w:rPr>
          <w:rFonts w:ascii="Times New Roman" w:hAnsi="Times New Roman" w:cs="Times New Roman"/>
          <w:b/>
          <w:bCs/>
          <w:sz w:val="24"/>
        </w:rPr>
      </w:pPr>
      <w:r w:rsidRPr="00852077">
        <w:rPr>
          <w:rFonts w:ascii="Times New Roman" w:hAnsi="Times New Roman" w:cs="Times New Roman"/>
          <w:b/>
          <w:bCs/>
          <w:sz w:val="24"/>
        </w:rPr>
        <w:t>Equal Access, Unequal Outcomes: A Clustering Analysis of Advanced Coursework and Postsecondary Outcomes Amid Structural Barriers in North Carolina High Schools</w:t>
      </w:r>
    </w:p>
    <w:p w14:paraId="4DF0B699" w14:textId="77777777" w:rsidR="00856886" w:rsidRDefault="00856886" w:rsidP="001B728D">
      <w:pPr>
        <w:spacing w:line="480" w:lineRule="auto"/>
        <w:jc w:val="center"/>
        <w:rPr>
          <w:rFonts w:ascii="Times New Roman" w:hAnsi="Times New Roman" w:cs="Times New Roman"/>
          <w:b/>
          <w:bCs/>
          <w:sz w:val="24"/>
        </w:rPr>
      </w:pPr>
    </w:p>
    <w:p w14:paraId="1EE62D43" w14:textId="760F17E4" w:rsidR="007A6780" w:rsidRDefault="00E01374" w:rsidP="001B728D">
      <w:pPr>
        <w:spacing w:line="480" w:lineRule="auto"/>
        <w:jc w:val="center"/>
        <w:rPr>
          <w:rFonts w:ascii="Times New Roman" w:hAnsi="Times New Roman" w:cs="Times New Roman"/>
          <w:sz w:val="24"/>
        </w:rPr>
      </w:pPr>
      <w:r>
        <w:rPr>
          <w:rFonts w:ascii="Times New Roman" w:hAnsi="Times New Roman" w:cs="Times New Roman"/>
          <w:sz w:val="24"/>
        </w:rPr>
        <w:t xml:space="preserve">Yue </w:t>
      </w:r>
      <w:r w:rsidR="007A6780" w:rsidRPr="00056A8C">
        <w:rPr>
          <w:rFonts w:ascii="Times New Roman" w:hAnsi="Times New Roman" w:cs="Times New Roman"/>
          <w:sz w:val="24"/>
        </w:rPr>
        <w:t>Summer Wu</w:t>
      </w:r>
    </w:p>
    <w:p w14:paraId="7F633130" w14:textId="77777777" w:rsidR="007A6780" w:rsidRDefault="007A6780" w:rsidP="001B728D">
      <w:pPr>
        <w:spacing w:line="480" w:lineRule="auto"/>
        <w:jc w:val="center"/>
        <w:rPr>
          <w:rFonts w:ascii="Times New Roman" w:hAnsi="Times New Roman" w:cs="Times New Roman"/>
          <w:sz w:val="24"/>
        </w:rPr>
      </w:pPr>
      <w:r>
        <w:rPr>
          <w:rFonts w:ascii="Times New Roman" w:hAnsi="Times New Roman" w:cs="Times New Roman"/>
          <w:sz w:val="24"/>
        </w:rPr>
        <w:t>Teachers College, Columbia University</w:t>
      </w:r>
    </w:p>
    <w:p w14:paraId="1B62F414" w14:textId="77777777" w:rsidR="007A6780" w:rsidRPr="00056A8C" w:rsidRDefault="007A6780" w:rsidP="001B728D">
      <w:pPr>
        <w:spacing w:line="480" w:lineRule="auto"/>
        <w:jc w:val="center"/>
        <w:rPr>
          <w:rFonts w:ascii="Times New Roman" w:hAnsi="Times New Roman" w:cs="Times New Roman"/>
          <w:sz w:val="24"/>
        </w:rPr>
      </w:pPr>
      <w:r w:rsidRPr="00056A8C">
        <w:rPr>
          <w:rFonts w:ascii="Times New Roman" w:hAnsi="Times New Roman" w:cs="Times New Roman"/>
          <w:sz w:val="24"/>
        </w:rPr>
        <w:t>ORLA 6541: Applied Data Science</w:t>
      </w:r>
      <w:r>
        <w:rPr>
          <w:rFonts w:ascii="Times New Roman" w:hAnsi="Times New Roman" w:cs="Times New Roman"/>
          <w:sz w:val="24"/>
        </w:rPr>
        <w:t xml:space="preserve"> </w:t>
      </w:r>
      <w:r w:rsidRPr="00056A8C">
        <w:rPr>
          <w:rFonts w:ascii="Times New Roman" w:hAnsi="Times New Roman" w:cs="Times New Roman"/>
          <w:sz w:val="24"/>
        </w:rPr>
        <w:t>in Organizations and Leadership</w:t>
      </w:r>
    </w:p>
    <w:p w14:paraId="3E3A5D7C" w14:textId="77777777" w:rsidR="007A6780" w:rsidRDefault="007A6780" w:rsidP="001B728D">
      <w:pPr>
        <w:spacing w:line="480" w:lineRule="auto"/>
        <w:jc w:val="center"/>
        <w:rPr>
          <w:rFonts w:ascii="Times New Roman" w:hAnsi="Times New Roman" w:cs="Times New Roman"/>
          <w:sz w:val="24"/>
        </w:rPr>
      </w:pPr>
      <w:r w:rsidRPr="00056A8C">
        <w:rPr>
          <w:rFonts w:ascii="Times New Roman" w:hAnsi="Times New Roman" w:cs="Times New Roman"/>
          <w:sz w:val="24"/>
        </w:rPr>
        <w:t>Dr. Alex J. Bowers</w:t>
      </w:r>
    </w:p>
    <w:p w14:paraId="60213D0E" w14:textId="6AD5BDF5" w:rsidR="007A6780" w:rsidRPr="00056A8C" w:rsidRDefault="0093056D" w:rsidP="001B728D">
      <w:pPr>
        <w:spacing w:line="480" w:lineRule="auto"/>
        <w:jc w:val="center"/>
        <w:rPr>
          <w:rFonts w:ascii="Times New Roman" w:hAnsi="Times New Roman" w:cs="Times New Roman"/>
          <w:sz w:val="24"/>
        </w:rPr>
      </w:pPr>
      <w:r>
        <w:rPr>
          <w:rFonts w:ascii="Times New Roman" w:hAnsi="Times New Roman" w:cs="Times New Roman"/>
          <w:sz w:val="24"/>
        </w:rPr>
        <w:t>November 25th</w:t>
      </w:r>
      <w:r w:rsidR="007A6780">
        <w:rPr>
          <w:rFonts w:ascii="Times New Roman" w:hAnsi="Times New Roman" w:cs="Times New Roman"/>
          <w:sz w:val="24"/>
        </w:rPr>
        <w:t>, 2024</w:t>
      </w:r>
    </w:p>
    <w:p w14:paraId="33138118" w14:textId="77777777" w:rsidR="007A6780" w:rsidRDefault="007A6780" w:rsidP="001B728D">
      <w:pPr>
        <w:spacing w:line="480" w:lineRule="auto"/>
        <w:rPr>
          <w:b/>
          <w:bCs/>
        </w:rPr>
      </w:pPr>
    </w:p>
    <w:p w14:paraId="2600B826" w14:textId="77777777" w:rsidR="007A6780" w:rsidRDefault="007A6780" w:rsidP="001B728D">
      <w:pPr>
        <w:spacing w:line="480" w:lineRule="auto"/>
        <w:rPr>
          <w:b/>
          <w:bCs/>
        </w:rPr>
      </w:pPr>
    </w:p>
    <w:p w14:paraId="5451CC20" w14:textId="77777777" w:rsidR="007A6780" w:rsidRDefault="007A6780" w:rsidP="001B728D">
      <w:pPr>
        <w:spacing w:line="480" w:lineRule="auto"/>
        <w:rPr>
          <w:b/>
          <w:bCs/>
        </w:rPr>
      </w:pPr>
    </w:p>
    <w:p w14:paraId="5D8F84BC" w14:textId="77777777" w:rsidR="007A6780" w:rsidRDefault="007A6780" w:rsidP="001B728D">
      <w:pPr>
        <w:spacing w:line="480" w:lineRule="auto"/>
        <w:rPr>
          <w:b/>
          <w:bCs/>
        </w:rPr>
      </w:pPr>
    </w:p>
    <w:p w14:paraId="76927BCA" w14:textId="77777777" w:rsidR="007A6780" w:rsidRDefault="007A6780" w:rsidP="001B728D">
      <w:pPr>
        <w:spacing w:line="480" w:lineRule="auto"/>
        <w:rPr>
          <w:b/>
          <w:bCs/>
        </w:rPr>
      </w:pPr>
    </w:p>
    <w:p w14:paraId="6619709F" w14:textId="77777777" w:rsidR="007A6780" w:rsidRDefault="007A6780" w:rsidP="001B728D">
      <w:pPr>
        <w:spacing w:line="480" w:lineRule="auto"/>
        <w:rPr>
          <w:b/>
          <w:bCs/>
        </w:rPr>
      </w:pPr>
    </w:p>
    <w:p w14:paraId="70486F81" w14:textId="77777777" w:rsidR="007A6780" w:rsidRDefault="007A6780" w:rsidP="001B728D">
      <w:pPr>
        <w:spacing w:line="480" w:lineRule="auto"/>
        <w:rPr>
          <w:b/>
          <w:bCs/>
        </w:rPr>
      </w:pPr>
    </w:p>
    <w:p w14:paraId="33C042A2" w14:textId="77777777" w:rsidR="007A6780" w:rsidRDefault="007A6780" w:rsidP="001B728D">
      <w:pPr>
        <w:spacing w:line="480" w:lineRule="auto"/>
        <w:rPr>
          <w:b/>
          <w:bCs/>
        </w:rPr>
      </w:pPr>
    </w:p>
    <w:p w14:paraId="4B2BA8CF" w14:textId="77777777" w:rsidR="007A6780" w:rsidRDefault="007A6780" w:rsidP="001B728D">
      <w:pPr>
        <w:spacing w:line="480" w:lineRule="auto"/>
        <w:rPr>
          <w:b/>
          <w:bCs/>
        </w:rPr>
      </w:pPr>
    </w:p>
    <w:p w14:paraId="1589BAC1" w14:textId="77777777" w:rsidR="007A6780" w:rsidRDefault="007A6780" w:rsidP="001B728D">
      <w:pPr>
        <w:spacing w:line="480" w:lineRule="auto"/>
        <w:rPr>
          <w:b/>
          <w:bCs/>
        </w:rPr>
      </w:pPr>
    </w:p>
    <w:p w14:paraId="464C5C65" w14:textId="77777777" w:rsidR="001871BB" w:rsidRDefault="001871BB">
      <w:pPr>
        <w:widowControl/>
        <w:jc w:val="left"/>
        <w:rPr>
          <w:rFonts w:ascii="Times New Roman" w:hAnsi="Times New Roman" w:cs="Times New Roman"/>
          <w:b/>
          <w:bCs/>
          <w:sz w:val="24"/>
        </w:rPr>
      </w:pPr>
      <w:r>
        <w:rPr>
          <w:rFonts w:ascii="Times New Roman" w:hAnsi="Times New Roman" w:cs="Times New Roman"/>
          <w:b/>
          <w:bCs/>
          <w:sz w:val="24"/>
        </w:rPr>
        <w:br w:type="page"/>
      </w:r>
    </w:p>
    <w:p w14:paraId="464E524E" w14:textId="4C391E4D" w:rsidR="007A6780" w:rsidRDefault="007A6780" w:rsidP="001871BB">
      <w:pPr>
        <w:spacing w:line="480" w:lineRule="auto"/>
        <w:jc w:val="center"/>
        <w:rPr>
          <w:rFonts w:ascii="Times New Roman" w:hAnsi="Times New Roman" w:cs="Times New Roman"/>
          <w:b/>
          <w:bCs/>
          <w:sz w:val="24"/>
        </w:rPr>
      </w:pPr>
      <w:r w:rsidRPr="00056A8C">
        <w:rPr>
          <w:rFonts w:ascii="Times New Roman" w:hAnsi="Times New Roman" w:cs="Times New Roman"/>
          <w:b/>
          <w:bCs/>
          <w:sz w:val="24"/>
        </w:rPr>
        <w:lastRenderedPageBreak/>
        <w:t>Abstract</w:t>
      </w:r>
    </w:p>
    <w:p w14:paraId="4F9A8F6C" w14:textId="4F4EF856" w:rsidR="00BB5C13" w:rsidRDefault="00FD28DA" w:rsidP="00FD28DA">
      <w:pPr>
        <w:spacing w:line="480" w:lineRule="auto"/>
        <w:jc w:val="left"/>
        <w:rPr>
          <w:rFonts w:ascii="Times New Roman" w:hAnsi="Times New Roman" w:cs="Times New Roman"/>
          <w:sz w:val="24"/>
        </w:rPr>
      </w:pPr>
      <w:r>
        <w:rPr>
          <w:b/>
          <w:bCs/>
        </w:rPr>
        <w:tab/>
      </w:r>
      <w:r w:rsidRPr="00FD28DA">
        <w:rPr>
          <w:rFonts w:ascii="Times New Roman" w:hAnsi="Times New Roman" w:cs="Times New Roman"/>
          <w:sz w:val="24"/>
        </w:rPr>
        <w:t>Th</w:t>
      </w:r>
      <w:r>
        <w:rPr>
          <w:rFonts w:ascii="Times New Roman" w:hAnsi="Times New Roman" w:cs="Times New Roman"/>
          <w:sz w:val="24"/>
        </w:rPr>
        <w:t xml:space="preserve">e current research </w:t>
      </w:r>
      <w:r w:rsidRPr="00FD28DA">
        <w:rPr>
          <w:rFonts w:ascii="Times New Roman" w:hAnsi="Times New Roman" w:cs="Times New Roman"/>
          <w:sz w:val="24"/>
        </w:rPr>
        <w:t>is grounded in the premise that educational attainment is essential for individual success and societal well-being</w:t>
      </w:r>
      <w:r w:rsidR="00B538CC">
        <w:rPr>
          <w:rFonts w:ascii="Times New Roman" w:hAnsi="Times New Roman" w:cs="Times New Roman"/>
          <w:sz w:val="24"/>
        </w:rPr>
        <w:t xml:space="preserve"> (NASEM, 2019)</w:t>
      </w:r>
      <w:r w:rsidRPr="00FD28DA">
        <w:rPr>
          <w:rFonts w:ascii="Times New Roman" w:hAnsi="Times New Roman" w:cs="Times New Roman"/>
          <w:sz w:val="24"/>
        </w:rPr>
        <w:t>, yet systemic structural barriers</w:t>
      </w:r>
      <w:r w:rsidR="00A97B34">
        <w:rPr>
          <w:rFonts w:ascii="Times New Roman" w:hAnsi="Times New Roman" w:cs="Times New Roman"/>
          <w:sz w:val="24"/>
        </w:rPr>
        <w:t>,</w:t>
      </w:r>
      <w:r>
        <w:rPr>
          <w:rFonts w:ascii="Times New Roman" w:hAnsi="Times New Roman" w:cs="Times New Roman"/>
          <w:sz w:val="24"/>
        </w:rPr>
        <w:t xml:space="preserve"> </w:t>
      </w:r>
      <w:r w:rsidRPr="00FD28DA">
        <w:rPr>
          <w:rFonts w:ascii="Times New Roman" w:hAnsi="Times New Roman" w:cs="Times New Roman"/>
          <w:sz w:val="24"/>
        </w:rPr>
        <w:t>such as economic disadvantage</w:t>
      </w:r>
      <w:r w:rsidR="00A97B34">
        <w:rPr>
          <w:rFonts w:ascii="Times New Roman" w:hAnsi="Times New Roman" w:cs="Times New Roman"/>
          <w:sz w:val="24"/>
        </w:rPr>
        <w:t>, l</w:t>
      </w:r>
      <w:r w:rsidRPr="00FD28DA">
        <w:rPr>
          <w:rFonts w:ascii="Times New Roman" w:hAnsi="Times New Roman" w:cs="Times New Roman"/>
          <w:sz w:val="24"/>
        </w:rPr>
        <w:t>imit opportunities for marginalized students</w:t>
      </w:r>
      <w:r w:rsidR="00BB5C13">
        <w:rPr>
          <w:rFonts w:ascii="Times New Roman" w:hAnsi="Times New Roman" w:cs="Times New Roman"/>
          <w:sz w:val="24"/>
        </w:rPr>
        <w:t xml:space="preserve"> (</w:t>
      </w:r>
      <w:proofErr w:type="spellStart"/>
      <w:r w:rsidR="00BB5C13">
        <w:rPr>
          <w:rFonts w:ascii="Times New Roman" w:hAnsi="Times New Roman" w:cs="Times New Roman"/>
          <w:sz w:val="24"/>
        </w:rPr>
        <w:t>Handwerk</w:t>
      </w:r>
      <w:proofErr w:type="spellEnd"/>
      <w:r w:rsidR="00BB5C13">
        <w:rPr>
          <w:rFonts w:ascii="Times New Roman" w:hAnsi="Times New Roman" w:cs="Times New Roman" w:hint="eastAsia"/>
          <w:sz w:val="24"/>
        </w:rPr>
        <w:t xml:space="preserve"> </w:t>
      </w:r>
      <w:r w:rsidR="00BB5C13">
        <w:rPr>
          <w:rFonts w:ascii="Times New Roman" w:hAnsi="Times New Roman" w:cs="Times New Roman"/>
          <w:sz w:val="24"/>
        </w:rPr>
        <w:t xml:space="preserve">et al, 2008; NASEM, 2019; </w:t>
      </w:r>
      <w:r w:rsidR="00BB5C13" w:rsidRPr="00BC03C3">
        <w:rPr>
          <w:rFonts w:ascii="Times New Roman" w:hAnsi="Times New Roman" w:cs="Times New Roman"/>
          <w:sz w:val="24"/>
        </w:rPr>
        <w:t>Patrick et al., 2020</w:t>
      </w:r>
      <w:r w:rsidR="00BB5C13">
        <w:rPr>
          <w:rFonts w:ascii="Times New Roman" w:hAnsi="Times New Roman" w:cs="Times New Roman"/>
          <w:sz w:val="24"/>
        </w:rPr>
        <w:t>)</w:t>
      </w:r>
      <w:r w:rsidR="00B538CC">
        <w:rPr>
          <w:rFonts w:ascii="Times New Roman" w:hAnsi="Times New Roman" w:cs="Times New Roman"/>
          <w:sz w:val="24"/>
        </w:rPr>
        <w:t xml:space="preserve">. </w:t>
      </w:r>
      <w:r w:rsidR="00BB5C13">
        <w:rPr>
          <w:rFonts w:ascii="Times New Roman" w:hAnsi="Times New Roman" w:cs="Times New Roman"/>
          <w:sz w:val="24"/>
        </w:rPr>
        <w:t>T</w:t>
      </w:r>
      <w:r>
        <w:rPr>
          <w:rFonts w:ascii="Times New Roman" w:hAnsi="Times New Roman" w:cs="Times New Roman"/>
          <w:sz w:val="24"/>
        </w:rPr>
        <w:t xml:space="preserve">his study aims to address </w:t>
      </w:r>
      <w:r w:rsidRPr="00FD28DA">
        <w:rPr>
          <w:rFonts w:ascii="Times New Roman" w:hAnsi="Times New Roman" w:cs="Times New Roman"/>
          <w:sz w:val="24"/>
        </w:rPr>
        <w:t>two questions:</w:t>
      </w:r>
      <w:r w:rsidR="002D473E">
        <w:rPr>
          <w:rFonts w:ascii="Times New Roman" w:hAnsi="Times New Roman" w:cs="Times New Roman"/>
          <w:sz w:val="24"/>
        </w:rPr>
        <w:t xml:space="preserve"> </w:t>
      </w:r>
      <w:r w:rsidRPr="00FD28DA">
        <w:rPr>
          <w:rFonts w:ascii="Times New Roman" w:hAnsi="Times New Roman" w:cs="Times New Roman"/>
          <w:sz w:val="24"/>
        </w:rPr>
        <w:t xml:space="preserve">To what extent does access to advanced coursework explain disparities in educational attainment? To what extent do structural barriers </w:t>
      </w:r>
      <w:r w:rsidR="00BB5C13">
        <w:rPr>
          <w:rFonts w:ascii="Times New Roman" w:hAnsi="Times New Roman" w:cs="Times New Roman"/>
          <w:sz w:val="24"/>
        </w:rPr>
        <w:t>play a role in</w:t>
      </w:r>
      <w:r w:rsidRPr="00FD28DA">
        <w:rPr>
          <w:rFonts w:ascii="Times New Roman" w:hAnsi="Times New Roman" w:cs="Times New Roman"/>
          <w:sz w:val="24"/>
        </w:rPr>
        <w:t xml:space="preserve"> the relationship between advanced coursework and </w:t>
      </w:r>
      <w:r w:rsidR="00765CC5">
        <w:rPr>
          <w:rFonts w:ascii="Times New Roman" w:hAnsi="Times New Roman" w:cs="Times New Roman"/>
          <w:sz w:val="24"/>
        </w:rPr>
        <w:t>postsecondary</w:t>
      </w:r>
      <w:r w:rsidRPr="00FD28DA">
        <w:rPr>
          <w:rFonts w:ascii="Times New Roman" w:hAnsi="Times New Roman" w:cs="Times New Roman"/>
          <w:sz w:val="24"/>
        </w:rPr>
        <w:t xml:space="preserve"> outcomes? Using data from the Civil Rights Data Collection and the North Carolina Department of Public Instruction</w:t>
      </w:r>
      <w:r w:rsidR="00BB5C13">
        <w:rPr>
          <w:rFonts w:ascii="Times New Roman" w:hAnsi="Times New Roman" w:cs="Times New Roman"/>
          <w:sz w:val="24"/>
        </w:rPr>
        <w:t xml:space="preserve">, </w:t>
      </w:r>
      <w:r w:rsidRPr="00FD28DA">
        <w:rPr>
          <w:rFonts w:ascii="Times New Roman" w:hAnsi="Times New Roman" w:cs="Times New Roman"/>
          <w:sz w:val="24"/>
        </w:rPr>
        <w:t>hierarchical cluster analysis was conducted on 239 high schools</w:t>
      </w:r>
      <w:r>
        <w:rPr>
          <w:rFonts w:ascii="Times New Roman" w:hAnsi="Times New Roman" w:cs="Times New Roman"/>
          <w:sz w:val="24"/>
        </w:rPr>
        <w:t xml:space="preserve"> in North Carolina</w:t>
      </w:r>
      <w:r w:rsidRPr="00FD28DA">
        <w:rPr>
          <w:rFonts w:ascii="Times New Roman" w:hAnsi="Times New Roman" w:cs="Times New Roman"/>
          <w:sz w:val="24"/>
        </w:rPr>
        <w:t xml:space="preserve"> to identify patterns in advanced coursework availability, enrollment, and postsecondary outcomes. A bubble plot further examined the role of economic disadvantage in shaping these relationships. </w:t>
      </w:r>
    </w:p>
    <w:p w14:paraId="71D860EE" w14:textId="7522AD1D" w:rsidR="00FD28DA" w:rsidRDefault="00FD28DA" w:rsidP="00BB5C13">
      <w:pPr>
        <w:spacing w:line="480" w:lineRule="auto"/>
        <w:ind w:firstLine="720"/>
        <w:jc w:val="left"/>
        <w:rPr>
          <w:rFonts w:ascii="Times New Roman" w:hAnsi="Times New Roman" w:cs="Times New Roman"/>
          <w:sz w:val="24"/>
        </w:rPr>
      </w:pPr>
      <w:r w:rsidRPr="00FD28DA">
        <w:rPr>
          <w:rFonts w:ascii="Times New Roman" w:hAnsi="Times New Roman" w:cs="Times New Roman"/>
          <w:sz w:val="24"/>
        </w:rPr>
        <w:t xml:space="preserve">The findings revealed four distinct clusters of schools, showing that course availability alone </w:t>
      </w:r>
      <w:r w:rsidR="00753300">
        <w:rPr>
          <w:rFonts w:ascii="Times New Roman" w:hAnsi="Times New Roman" w:cs="Times New Roman"/>
          <w:sz w:val="24"/>
        </w:rPr>
        <w:t>did</w:t>
      </w:r>
      <w:r w:rsidRPr="00FD28DA">
        <w:rPr>
          <w:rFonts w:ascii="Times New Roman" w:hAnsi="Times New Roman" w:cs="Times New Roman"/>
          <w:sz w:val="24"/>
        </w:rPr>
        <w:t xml:space="preserve"> not correlate with postsecondary attainment. Schools with similar resources exhibited varied outcomes based on their student demographics, with economically disadvantaged schools often showing lower </w:t>
      </w:r>
      <w:r w:rsidR="00765CC5">
        <w:rPr>
          <w:rFonts w:ascii="Times New Roman" w:hAnsi="Times New Roman" w:cs="Times New Roman"/>
          <w:sz w:val="24"/>
        </w:rPr>
        <w:t>course enrollment</w:t>
      </w:r>
      <w:r w:rsidRPr="00FD28DA">
        <w:rPr>
          <w:rFonts w:ascii="Times New Roman" w:hAnsi="Times New Roman" w:cs="Times New Roman"/>
          <w:sz w:val="24"/>
        </w:rPr>
        <w:t xml:space="preserve"> and attainment. However, some schools </w:t>
      </w:r>
      <w:r w:rsidR="001868EF">
        <w:rPr>
          <w:rFonts w:ascii="Times New Roman" w:hAnsi="Times New Roman" w:cs="Times New Roman"/>
          <w:sz w:val="24"/>
        </w:rPr>
        <w:t xml:space="preserve">predominately </w:t>
      </w:r>
      <w:r w:rsidRPr="00FD28DA">
        <w:rPr>
          <w:rFonts w:ascii="Times New Roman" w:hAnsi="Times New Roman" w:cs="Times New Roman"/>
          <w:sz w:val="24"/>
        </w:rPr>
        <w:t xml:space="preserve">serving disadvantaged populations appeared to overcome these barriers. These results suggest that addressing educational inequities requires more than resource equality; schools must provide tailored interventions, </w:t>
      </w:r>
      <w:r w:rsidR="001868EF">
        <w:rPr>
          <w:rFonts w:ascii="Times New Roman" w:hAnsi="Times New Roman" w:cs="Times New Roman"/>
          <w:sz w:val="24"/>
        </w:rPr>
        <w:t>such as</w:t>
      </w:r>
      <w:r w:rsidRPr="00FD28DA">
        <w:rPr>
          <w:rFonts w:ascii="Times New Roman" w:hAnsi="Times New Roman" w:cs="Times New Roman"/>
          <w:sz w:val="24"/>
        </w:rPr>
        <w:t xml:space="preserve"> expanded access to advanced coursework and additional supports. Future research should include qualitative case studies of high-performing schools and incorporate student-level data to better understand and address systemic disparities.</w:t>
      </w:r>
    </w:p>
    <w:p w14:paraId="7A5B259A" w14:textId="1365693D" w:rsidR="007A6780" w:rsidRPr="00BB5C13" w:rsidRDefault="00BB5C13" w:rsidP="00BB5C13">
      <w:pPr>
        <w:spacing w:line="480" w:lineRule="auto"/>
        <w:ind w:firstLine="720"/>
        <w:jc w:val="left"/>
        <w:rPr>
          <w:rFonts w:ascii="Times New Roman" w:hAnsi="Times New Roman" w:cs="Times New Roman"/>
          <w:sz w:val="24"/>
        </w:rPr>
      </w:pPr>
      <w:r w:rsidRPr="00BB5C13">
        <w:rPr>
          <w:rFonts w:ascii="Times New Roman" w:hAnsi="Times New Roman" w:cs="Times New Roman"/>
          <w:i/>
          <w:iCs/>
          <w:sz w:val="24"/>
        </w:rPr>
        <w:t xml:space="preserve">Keywords: </w:t>
      </w:r>
      <w:r>
        <w:rPr>
          <w:rFonts w:ascii="Times New Roman" w:hAnsi="Times New Roman" w:cs="Times New Roman"/>
          <w:sz w:val="24"/>
        </w:rPr>
        <w:t xml:space="preserve">clustering analysis, </w:t>
      </w:r>
      <w:r w:rsidR="000B7CD9">
        <w:rPr>
          <w:rFonts w:ascii="Times New Roman" w:hAnsi="Times New Roman" w:cs="Times New Roman"/>
          <w:sz w:val="24"/>
        </w:rPr>
        <w:t xml:space="preserve">data </w:t>
      </w:r>
      <w:r>
        <w:rPr>
          <w:rFonts w:ascii="Times New Roman" w:hAnsi="Times New Roman" w:cs="Times New Roman"/>
          <w:sz w:val="24"/>
        </w:rPr>
        <w:t>visualization, advanced coursework, postsecondary readiness, educational equity</w:t>
      </w:r>
      <w:r w:rsidR="007A6780">
        <w:rPr>
          <w:b/>
          <w:bCs/>
        </w:rPr>
        <w:br w:type="page"/>
      </w:r>
    </w:p>
    <w:p w14:paraId="7ACF1D36" w14:textId="77777777" w:rsidR="00856886" w:rsidRDefault="00856886" w:rsidP="001B728D">
      <w:pPr>
        <w:spacing w:line="480" w:lineRule="auto"/>
        <w:jc w:val="center"/>
        <w:rPr>
          <w:rFonts w:ascii="Times New Roman" w:hAnsi="Times New Roman" w:cs="Times New Roman"/>
          <w:b/>
          <w:bCs/>
          <w:sz w:val="24"/>
        </w:rPr>
      </w:pPr>
      <w:r w:rsidRPr="00856886">
        <w:rPr>
          <w:rFonts w:ascii="Times New Roman" w:hAnsi="Times New Roman" w:cs="Times New Roman"/>
          <w:b/>
          <w:bCs/>
          <w:sz w:val="24"/>
        </w:rPr>
        <w:lastRenderedPageBreak/>
        <w:t>Equal Access, Unequal Outcomes: A Clustering Analysis of Advanced Coursework and Postsecondary Outcomes Amid Structural Barrier</w:t>
      </w:r>
      <w:r>
        <w:rPr>
          <w:rFonts w:ascii="Times New Roman" w:hAnsi="Times New Roman" w:cs="Times New Roman"/>
          <w:b/>
          <w:bCs/>
          <w:sz w:val="24"/>
        </w:rPr>
        <w:t>s i</w:t>
      </w:r>
      <w:r w:rsidRPr="00856886">
        <w:rPr>
          <w:rFonts w:ascii="Times New Roman" w:hAnsi="Times New Roman" w:cs="Times New Roman"/>
          <w:b/>
          <w:bCs/>
          <w:sz w:val="24"/>
        </w:rPr>
        <w:t>n North Carolina High Schools</w:t>
      </w:r>
    </w:p>
    <w:p w14:paraId="7183E80A" w14:textId="381BE53C" w:rsidR="00033BA0" w:rsidRPr="00033BA0" w:rsidRDefault="00033BA0" w:rsidP="001B728D">
      <w:pPr>
        <w:spacing w:line="480" w:lineRule="auto"/>
        <w:ind w:firstLine="720"/>
        <w:jc w:val="left"/>
        <w:rPr>
          <w:rFonts w:ascii="Times New Roman" w:hAnsi="Times New Roman" w:cs="Times New Roman"/>
          <w:sz w:val="24"/>
        </w:rPr>
      </w:pPr>
      <w:r w:rsidRPr="00033BA0">
        <w:rPr>
          <w:rFonts w:ascii="Times New Roman" w:hAnsi="Times New Roman" w:cs="Times New Roman"/>
          <w:sz w:val="24"/>
        </w:rPr>
        <w:t>Disparities in educational attainment have long been a persistent feature of the U.S. education system, reflecting deep-rooted socioeconomic and racial inequities (</w:t>
      </w:r>
      <w:r w:rsidR="006D315F" w:rsidRPr="00D47D3E">
        <w:rPr>
          <w:rFonts w:ascii="Times New Roman" w:hAnsi="Times New Roman" w:cs="Times New Roman"/>
          <w:sz w:val="24"/>
        </w:rPr>
        <w:t>National Academies of Sciences, Engineering, and Medicine</w:t>
      </w:r>
      <w:r w:rsidR="006D315F">
        <w:rPr>
          <w:rFonts w:ascii="Times New Roman" w:hAnsi="Times New Roman" w:cs="Times New Roman"/>
          <w:sz w:val="24"/>
        </w:rPr>
        <w:t xml:space="preserve"> [NASEM]</w:t>
      </w:r>
      <w:r w:rsidRPr="00033BA0">
        <w:rPr>
          <w:rFonts w:ascii="Times New Roman" w:hAnsi="Times New Roman" w:cs="Times New Roman"/>
          <w:sz w:val="24"/>
        </w:rPr>
        <w:t>, 2019). Historically, students from white, high-income, and English-proficient families have consistently achieved higher levels of success compared to their peers from marginalized backgrounds (Gamoran, 2001; NASEM, 2019). As Gamoran (2001) predicted, in the 21st century, educational inequity remains a defining challenge, particularly as students from socioeconomically, racially, and culturally disadvantaged backgrounds represent an increasing proportion of the student population.</w:t>
      </w:r>
    </w:p>
    <w:p w14:paraId="22D341A5" w14:textId="605F7238" w:rsidR="00DC4103" w:rsidRDefault="00DA3F1A" w:rsidP="001B728D">
      <w:pPr>
        <w:spacing w:line="480" w:lineRule="auto"/>
        <w:ind w:firstLine="720"/>
        <w:jc w:val="left"/>
        <w:rPr>
          <w:rFonts w:ascii="Times New Roman" w:hAnsi="Times New Roman" w:cs="Times New Roman"/>
          <w:sz w:val="24"/>
        </w:rPr>
      </w:pPr>
      <w:r w:rsidRPr="00DA3F1A">
        <w:rPr>
          <w:rFonts w:ascii="Times New Roman" w:hAnsi="Times New Roman" w:cs="Times New Roman"/>
          <w:sz w:val="24"/>
        </w:rPr>
        <w:t>To address educational inequities, scholars have focused on monitoring opportunity gaps and addressing resource disparities, as well-represented groups tend to access higher-quality resources (Darling-Hammond, 2010; DeSantis, 2012). Among these efforts, access to advanced coursework has drawn significant attention</w:t>
      </w:r>
      <w:r>
        <w:rPr>
          <w:rFonts w:ascii="Times New Roman" w:hAnsi="Times New Roman" w:cs="Times New Roman" w:hint="eastAsia"/>
          <w:sz w:val="24"/>
        </w:rPr>
        <w:t xml:space="preserve">, </w:t>
      </w:r>
      <w:r w:rsidRPr="00DA3F1A">
        <w:rPr>
          <w:rFonts w:ascii="Times New Roman" w:hAnsi="Times New Roman" w:cs="Times New Roman"/>
          <w:sz w:val="24"/>
        </w:rPr>
        <w:t xml:space="preserve">with researchers employing various methods to explore the </w:t>
      </w:r>
      <w:r w:rsidR="005711E4">
        <w:rPr>
          <w:rFonts w:ascii="Times New Roman" w:hAnsi="Times New Roman" w:cs="Times New Roman"/>
          <w:sz w:val="24"/>
        </w:rPr>
        <w:t>accessibility</w:t>
      </w:r>
      <w:r w:rsidRPr="00DA3F1A">
        <w:rPr>
          <w:rFonts w:ascii="Times New Roman" w:hAnsi="Times New Roman" w:cs="Times New Roman"/>
          <w:sz w:val="24"/>
        </w:rPr>
        <w:t xml:space="preserve"> of such coursework and its relationship to educational attainment</w:t>
      </w:r>
      <w:r>
        <w:rPr>
          <w:rFonts w:ascii="Times New Roman" w:hAnsi="Times New Roman" w:cs="Times New Roman" w:hint="eastAsia"/>
          <w:sz w:val="24"/>
        </w:rPr>
        <w:t xml:space="preserve"> </w:t>
      </w:r>
      <w:r w:rsidRPr="005711E4">
        <w:rPr>
          <w:rFonts w:ascii="Times New Roman" w:hAnsi="Times New Roman" w:cs="Times New Roman" w:hint="eastAsia"/>
          <w:sz w:val="24"/>
        </w:rPr>
        <w:t>(</w:t>
      </w:r>
      <w:r w:rsidR="005711E4" w:rsidRPr="005711E4">
        <w:rPr>
          <w:rFonts w:ascii="Times New Roman" w:hAnsi="Times New Roman" w:cs="Times New Roman"/>
          <w:sz w:val="24"/>
        </w:rPr>
        <w:t>e.g.,</w:t>
      </w:r>
      <w:r w:rsidR="005711E4">
        <w:rPr>
          <w:rFonts w:ascii="Times New Roman" w:hAnsi="Times New Roman" w:cs="Times New Roman"/>
          <w:sz w:val="24"/>
        </w:rPr>
        <w:t xml:space="preserve"> </w:t>
      </w:r>
      <w:r w:rsidR="005711E4" w:rsidRPr="00150B11">
        <w:rPr>
          <w:rFonts w:ascii="Times New Roman" w:hAnsi="Times New Roman" w:cs="Times New Roman"/>
          <w:sz w:val="24"/>
        </w:rPr>
        <w:t>Karp et al., 2007</w:t>
      </w:r>
      <w:r w:rsidR="005711E4">
        <w:rPr>
          <w:rFonts w:ascii="Times New Roman" w:hAnsi="Times New Roman" w:cs="Times New Roman"/>
          <w:sz w:val="24"/>
        </w:rPr>
        <w:t>; Long et al., 2009, 2012</w:t>
      </w:r>
      <w:r w:rsidR="001868EF">
        <w:rPr>
          <w:rFonts w:ascii="Times New Roman" w:hAnsi="Times New Roman" w:cs="Times New Roman"/>
          <w:sz w:val="24"/>
        </w:rPr>
        <w:t xml:space="preserve">; </w:t>
      </w:r>
      <w:r w:rsidR="001868EF" w:rsidRPr="005711E4">
        <w:rPr>
          <w:rFonts w:ascii="Times New Roman" w:hAnsi="Times New Roman" w:cs="Times New Roman"/>
          <w:sz w:val="24"/>
        </w:rPr>
        <w:t>Morgan et al., 2018</w:t>
      </w:r>
      <w:r w:rsidRPr="005711E4">
        <w:rPr>
          <w:rFonts w:ascii="Times New Roman" w:hAnsi="Times New Roman" w:cs="Times New Roman" w:hint="eastAsia"/>
          <w:sz w:val="24"/>
        </w:rPr>
        <w:t>).</w:t>
      </w:r>
      <w:r>
        <w:rPr>
          <w:rFonts w:ascii="Times New Roman" w:hAnsi="Times New Roman" w:cs="Times New Roman" w:hint="eastAsia"/>
          <w:sz w:val="24"/>
        </w:rPr>
        <w:t xml:space="preserve"> </w:t>
      </w:r>
      <w:r w:rsidRPr="00DA3F1A">
        <w:rPr>
          <w:rFonts w:ascii="Times New Roman" w:hAnsi="Times New Roman" w:cs="Times New Roman"/>
          <w:sz w:val="24"/>
        </w:rPr>
        <w:t xml:space="preserve">However, as NASEM (2019) highlighted, </w:t>
      </w:r>
      <w:r w:rsidR="001868EF">
        <w:rPr>
          <w:rFonts w:ascii="Times New Roman" w:hAnsi="Times New Roman" w:cs="Times New Roman"/>
          <w:sz w:val="24"/>
        </w:rPr>
        <w:t xml:space="preserve">educational </w:t>
      </w:r>
      <w:r w:rsidRPr="00DA3F1A">
        <w:rPr>
          <w:rFonts w:ascii="Times New Roman" w:hAnsi="Times New Roman" w:cs="Times New Roman"/>
          <w:sz w:val="24"/>
        </w:rPr>
        <w:t xml:space="preserve">equity extends beyond resource distribution to addressing systemic disadvantages that hinder marginalized students. </w:t>
      </w:r>
      <w:r w:rsidR="005711E4">
        <w:rPr>
          <w:rFonts w:ascii="Times New Roman" w:hAnsi="Times New Roman" w:cs="Times New Roman"/>
          <w:sz w:val="24"/>
        </w:rPr>
        <w:t>Therefore, t</w:t>
      </w:r>
      <w:r w:rsidRPr="00DA3F1A">
        <w:rPr>
          <w:rFonts w:ascii="Times New Roman" w:hAnsi="Times New Roman" w:cs="Times New Roman"/>
          <w:sz w:val="24"/>
        </w:rPr>
        <w:t xml:space="preserve">his study </w:t>
      </w:r>
      <w:r w:rsidR="005711E4">
        <w:rPr>
          <w:rFonts w:ascii="Times New Roman" w:hAnsi="Times New Roman" w:cs="Times New Roman"/>
          <w:sz w:val="24"/>
        </w:rPr>
        <w:t xml:space="preserve">aims to </w:t>
      </w:r>
      <w:r w:rsidRPr="00DA3F1A">
        <w:rPr>
          <w:rFonts w:ascii="Times New Roman" w:hAnsi="Times New Roman" w:cs="Times New Roman"/>
          <w:sz w:val="24"/>
        </w:rPr>
        <w:t>examine</w:t>
      </w:r>
      <w:r w:rsidR="00765CC5">
        <w:rPr>
          <w:rFonts w:ascii="Times New Roman" w:hAnsi="Times New Roman" w:cs="Times New Roman"/>
          <w:sz w:val="24"/>
        </w:rPr>
        <w:t xml:space="preserve"> </w:t>
      </w:r>
      <w:r w:rsidR="001868EF">
        <w:rPr>
          <w:rFonts w:ascii="Times New Roman" w:hAnsi="Times New Roman" w:cs="Times New Roman"/>
          <w:sz w:val="24"/>
        </w:rPr>
        <w:t>the role</w:t>
      </w:r>
      <w:r w:rsidRPr="00DA3F1A">
        <w:rPr>
          <w:rFonts w:ascii="Times New Roman" w:hAnsi="Times New Roman" w:cs="Times New Roman"/>
          <w:sz w:val="24"/>
        </w:rPr>
        <w:t xml:space="preserve"> structural barriers</w:t>
      </w:r>
      <w:r w:rsidR="001868EF">
        <w:rPr>
          <w:rFonts w:ascii="Times New Roman" w:hAnsi="Times New Roman" w:cs="Times New Roman"/>
          <w:sz w:val="24"/>
        </w:rPr>
        <w:t xml:space="preserve"> play in</w:t>
      </w:r>
      <w:r w:rsidRPr="00DA3F1A">
        <w:rPr>
          <w:rFonts w:ascii="Times New Roman" w:hAnsi="Times New Roman" w:cs="Times New Roman"/>
          <w:sz w:val="24"/>
        </w:rPr>
        <w:t xml:space="preserve"> access to advanced coursework and its relationship with educational attainment in North Carolina high schools, offering insights to promote equitable </w:t>
      </w:r>
      <w:r w:rsidR="001868EF">
        <w:rPr>
          <w:rFonts w:ascii="Times New Roman" w:hAnsi="Times New Roman" w:cs="Times New Roman"/>
          <w:sz w:val="24"/>
        </w:rPr>
        <w:t>education</w:t>
      </w:r>
      <w:r w:rsidRPr="00DA3F1A">
        <w:rPr>
          <w:rFonts w:ascii="Times New Roman" w:hAnsi="Times New Roman" w:cs="Times New Roman"/>
          <w:sz w:val="24"/>
        </w:rPr>
        <w:t>.</w:t>
      </w:r>
    </w:p>
    <w:p w14:paraId="744FC99C" w14:textId="4B797E8F" w:rsidR="00E01374" w:rsidRDefault="007544FD" w:rsidP="001B728D">
      <w:pPr>
        <w:spacing w:line="480" w:lineRule="auto"/>
        <w:jc w:val="left"/>
        <w:rPr>
          <w:rFonts w:ascii="Times New Roman" w:hAnsi="Times New Roman" w:cs="Times New Roman"/>
          <w:b/>
          <w:bCs/>
          <w:sz w:val="24"/>
        </w:rPr>
      </w:pPr>
      <w:r w:rsidRPr="007544FD">
        <w:rPr>
          <w:rFonts w:ascii="Times New Roman" w:hAnsi="Times New Roman" w:cs="Times New Roman"/>
          <w:b/>
          <w:bCs/>
          <w:sz w:val="24"/>
        </w:rPr>
        <w:t xml:space="preserve">Conceptual Framework </w:t>
      </w:r>
    </w:p>
    <w:p w14:paraId="38CA4E76" w14:textId="77777777" w:rsidR="00765CC5" w:rsidRDefault="00FA1232" w:rsidP="00765CC5">
      <w:pPr>
        <w:spacing w:line="480" w:lineRule="auto"/>
        <w:ind w:firstLine="720"/>
        <w:jc w:val="left"/>
        <w:rPr>
          <w:rFonts w:ascii="Times New Roman" w:hAnsi="Times New Roman" w:cs="Times New Roman"/>
          <w:sz w:val="24"/>
        </w:rPr>
      </w:pPr>
      <w:r w:rsidRPr="00FA1232">
        <w:rPr>
          <w:rFonts w:ascii="Times New Roman" w:hAnsi="Times New Roman" w:cs="Times New Roman"/>
          <w:sz w:val="24"/>
        </w:rPr>
        <w:t>The National Academies of Sciences, Engineering, and Medicine (NASEM, 2019) propose</w:t>
      </w:r>
      <w:r w:rsidR="00765CC5">
        <w:rPr>
          <w:rFonts w:ascii="Times New Roman" w:hAnsi="Times New Roman" w:cs="Times New Roman"/>
          <w:sz w:val="24"/>
        </w:rPr>
        <w:t>d</w:t>
      </w:r>
      <w:r w:rsidRPr="00FA1232">
        <w:rPr>
          <w:rFonts w:ascii="Times New Roman" w:hAnsi="Times New Roman" w:cs="Times New Roman"/>
          <w:sz w:val="24"/>
        </w:rPr>
        <w:t xml:space="preserve"> a comprehensive framework of 16 indicators that provide a structured lens to evaluate </w:t>
      </w:r>
      <w:r w:rsidRPr="00FA1232">
        <w:rPr>
          <w:rFonts w:ascii="Times New Roman" w:hAnsi="Times New Roman" w:cs="Times New Roman"/>
          <w:sz w:val="24"/>
        </w:rPr>
        <w:lastRenderedPageBreak/>
        <w:t>educational opportunities and outcomes across schools, districts, and states.</w:t>
      </w:r>
      <w:r>
        <w:rPr>
          <w:rFonts w:ascii="Times New Roman" w:hAnsi="Times New Roman" w:cs="Times New Roman"/>
          <w:sz w:val="24"/>
        </w:rPr>
        <w:t xml:space="preserve"> </w:t>
      </w:r>
      <w:r w:rsidR="00DC4103">
        <w:rPr>
          <w:rFonts w:ascii="Times New Roman" w:hAnsi="Times New Roman" w:cs="Times New Roman"/>
          <w:sz w:val="24"/>
        </w:rPr>
        <w:t>A</w:t>
      </w:r>
      <w:r w:rsidR="00DC4103" w:rsidRPr="00FA1232">
        <w:rPr>
          <w:rFonts w:ascii="Times New Roman" w:hAnsi="Times New Roman" w:cs="Times New Roman"/>
          <w:sz w:val="24"/>
        </w:rPr>
        <w:t>s NASEM (2019) cautions, solely monitoring opportunity gaps is insufficient without addressing deeper structural inequities</w:t>
      </w:r>
      <w:r w:rsidR="00DC4103">
        <w:rPr>
          <w:rFonts w:ascii="Times New Roman" w:hAnsi="Times New Roman" w:cs="Times New Roman"/>
          <w:sz w:val="24"/>
        </w:rPr>
        <w:t xml:space="preserve">, so their </w:t>
      </w:r>
      <w:r w:rsidR="00DC4103" w:rsidRPr="00FA1232">
        <w:rPr>
          <w:rFonts w:ascii="Times New Roman" w:hAnsi="Times New Roman" w:cs="Times New Roman"/>
          <w:sz w:val="24"/>
        </w:rPr>
        <w:t xml:space="preserve">framework underscores the importance of examining both opportunity indicators, such as </w:t>
      </w:r>
      <w:r w:rsidR="00765CC5">
        <w:rPr>
          <w:rFonts w:ascii="Times New Roman" w:hAnsi="Times New Roman" w:cs="Times New Roman"/>
          <w:sz w:val="24"/>
        </w:rPr>
        <w:t>A</w:t>
      </w:r>
      <w:r w:rsidR="00DC4103" w:rsidRPr="00FA1232">
        <w:rPr>
          <w:rFonts w:ascii="Times New Roman" w:hAnsi="Times New Roman" w:cs="Times New Roman"/>
          <w:sz w:val="24"/>
        </w:rPr>
        <w:t>ccess to</w:t>
      </w:r>
      <w:r w:rsidR="00765CC5">
        <w:rPr>
          <w:rFonts w:ascii="Times New Roman" w:hAnsi="Times New Roman" w:cs="Times New Roman"/>
          <w:sz w:val="24"/>
        </w:rPr>
        <w:t xml:space="preserve"> and Enrollment in</w:t>
      </w:r>
      <w:r w:rsidR="00DC4103" w:rsidRPr="00FA1232">
        <w:rPr>
          <w:rFonts w:ascii="Times New Roman" w:hAnsi="Times New Roman" w:cs="Times New Roman"/>
          <w:sz w:val="24"/>
        </w:rPr>
        <w:t xml:space="preserve"> </w:t>
      </w:r>
      <w:r w:rsidR="00765CC5">
        <w:rPr>
          <w:rFonts w:ascii="Times New Roman" w:hAnsi="Times New Roman" w:cs="Times New Roman"/>
          <w:sz w:val="24"/>
        </w:rPr>
        <w:t>R</w:t>
      </w:r>
      <w:r w:rsidR="00DC4103">
        <w:rPr>
          <w:rFonts w:ascii="Times New Roman" w:hAnsi="Times New Roman" w:cs="Times New Roman"/>
          <w:sz w:val="24"/>
        </w:rPr>
        <w:t xml:space="preserve">igorous </w:t>
      </w:r>
      <w:r w:rsidR="00765CC5">
        <w:rPr>
          <w:rFonts w:ascii="Times New Roman" w:hAnsi="Times New Roman" w:cs="Times New Roman"/>
          <w:sz w:val="24"/>
        </w:rPr>
        <w:t>C</w:t>
      </w:r>
      <w:r w:rsidR="00DC4103">
        <w:rPr>
          <w:rFonts w:ascii="Times New Roman" w:hAnsi="Times New Roman" w:cs="Times New Roman"/>
          <w:sz w:val="24"/>
        </w:rPr>
        <w:t>oursework</w:t>
      </w:r>
      <w:r w:rsidR="00DC4103" w:rsidRPr="00FA1232">
        <w:rPr>
          <w:rFonts w:ascii="Times New Roman" w:hAnsi="Times New Roman" w:cs="Times New Roman"/>
          <w:sz w:val="24"/>
        </w:rPr>
        <w:t xml:space="preserve">, and outcome indicators, such as </w:t>
      </w:r>
      <w:r w:rsidR="00765CC5">
        <w:rPr>
          <w:rFonts w:ascii="Times New Roman" w:hAnsi="Times New Roman" w:cs="Times New Roman"/>
          <w:sz w:val="24"/>
        </w:rPr>
        <w:t>P</w:t>
      </w:r>
      <w:r w:rsidR="00DC4103">
        <w:rPr>
          <w:rFonts w:ascii="Times New Roman" w:hAnsi="Times New Roman" w:cs="Times New Roman"/>
          <w:sz w:val="24"/>
        </w:rPr>
        <w:t xml:space="preserve">ostsecondary </w:t>
      </w:r>
      <w:r w:rsidR="00765CC5">
        <w:rPr>
          <w:rFonts w:ascii="Times New Roman" w:hAnsi="Times New Roman" w:cs="Times New Roman"/>
          <w:sz w:val="24"/>
        </w:rPr>
        <w:t>R</w:t>
      </w:r>
      <w:r w:rsidR="00DC4103">
        <w:rPr>
          <w:rFonts w:ascii="Times New Roman" w:hAnsi="Times New Roman" w:cs="Times New Roman"/>
          <w:sz w:val="24"/>
        </w:rPr>
        <w:t>eadiness</w:t>
      </w:r>
      <w:r w:rsidR="00DC4103" w:rsidRPr="00FA1232">
        <w:rPr>
          <w:rFonts w:ascii="Times New Roman" w:hAnsi="Times New Roman" w:cs="Times New Roman"/>
          <w:sz w:val="24"/>
        </w:rPr>
        <w:t>.</w:t>
      </w:r>
      <w:r w:rsidR="00765CC5">
        <w:rPr>
          <w:rFonts w:ascii="Times New Roman" w:hAnsi="Times New Roman" w:cs="Times New Roman"/>
          <w:sz w:val="24"/>
        </w:rPr>
        <w:t xml:space="preserve"> </w:t>
      </w:r>
    </w:p>
    <w:p w14:paraId="5875D569" w14:textId="533A5ACA" w:rsidR="00FA1232" w:rsidRDefault="00FA1232" w:rsidP="00765CC5">
      <w:pPr>
        <w:spacing w:line="480" w:lineRule="auto"/>
        <w:ind w:firstLine="720"/>
        <w:jc w:val="left"/>
        <w:rPr>
          <w:rFonts w:ascii="Times New Roman" w:hAnsi="Times New Roman" w:cs="Times New Roman"/>
          <w:sz w:val="24"/>
        </w:rPr>
      </w:pPr>
      <w:r>
        <w:rPr>
          <w:rFonts w:ascii="Times New Roman" w:hAnsi="Times New Roman" w:cs="Times New Roman"/>
          <w:sz w:val="24"/>
        </w:rPr>
        <w:t>According to NASEM (2019), e</w:t>
      </w:r>
      <w:r w:rsidRPr="00FA1232">
        <w:rPr>
          <w:rFonts w:ascii="Times New Roman" w:hAnsi="Times New Roman" w:cs="Times New Roman"/>
          <w:sz w:val="24"/>
        </w:rPr>
        <w:t xml:space="preserve">ducational attainment is a critical goal not </w:t>
      </w:r>
      <w:r w:rsidR="00A97B34">
        <w:rPr>
          <w:rFonts w:ascii="Times New Roman" w:hAnsi="Times New Roman" w:cs="Times New Roman"/>
          <w:sz w:val="24"/>
        </w:rPr>
        <w:t>only</w:t>
      </w:r>
      <w:r w:rsidRPr="00FA1232">
        <w:rPr>
          <w:rFonts w:ascii="Times New Roman" w:hAnsi="Times New Roman" w:cs="Times New Roman"/>
          <w:sz w:val="24"/>
        </w:rPr>
        <w:t xml:space="preserve"> for individual success but for broader societal well-being. Higher educational attainment benefits individuals through improved employment prospects, financial stability, and health outcomes, while society gains from a stronger workforce and reduced public expenditures on healthcare, welfare, and criminal justice</w:t>
      </w:r>
      <w:r>
        <w:rPr>
          <w:rFonts w:ascii="Times New Roman" w:hAnsi="Times New Roman" w:cs="Times New Roman"/>
          <w:sz w:val="24"/>
        </w:rPr>
        <w:t xml:space="preserve"> (NASEM, 2019)</w:t>
      </w:r>
      <w:r w:rsidRPr="00FA1232">
        <w:rPr>
          <w:rFonts w:ascii="Times New Roman" w:hAnsi="Times New Roman" w:cs="Times New Roman"/>
          <w:sz w:val="24"/>
        </w:rPr>
        <w:t xml:space="preserve">. To measure </w:t>
      </w:r>
      <w:r w:rsidR="00765CC5">
        <w:rPr>
          <w:rFonts w:ascii="Times New Roman" w:hAnsi="Times New Roman" w:cs="Times New Roman"/>
          <w:sz w:val="24"/>
        </w:rPr>
        <w:t>educational attainment</w:t>
      </w:r>
      <w:r w:rsidRPr="00FA1232">
        <w:rPr>
          <w:rFonts w:ascii="Times New Roman" w:hAnsi="Times New Roman" w:cs="Times New Roman"/>
          <w:sz w:val="24"/>
        </w:rPr>
        <w:t xml:space="preserve">, NASEM (2019) </w:t>
      </w:r>
      <w:r w:rsidR="00765CC5">
        <w:rPr>
          <w:rFonts w:ascii="Times New Roman" w:hAnsi="Times New Roman" w:cs="Times New Roman"/>
          <w:sz w:val="24"/>
        </w:rPr>
        <w:t>advocated for</w:t>
      </w:r>
      <w:r w:rsidRPr="00FA1232">
        <w:rPr>
          <w:rFonts w:ascii="Times New Roman" w:hAnsi="Times New Roman" w:cs="Times New Roman"/>
          <w:sz w:val="24"/>
        </w:rPr>
        <w:t xml:space="preserve"> two key indicators: On-Time Graduation and Postsecondary Readiness.</w:t>
      </w:r>
      <w:r>
        <w:rPr>
          <w:rFonts w:ascii="Times New Roman" w:hAnsi="Times New Roman" w:cs="Times New Roman"/>
          <w:sz w:val="24"/>
        </w:rPr>
        <w:t xml:space="preserve"> </w:t>
      </w:r>
    </w:p>
    <w:p w14:paraId="3EE29EEF" w14:textId="0C41E3F0" w:rsidR="006D315F" w:rsidRPr="00DC4103" w:rsidRDefault="00FA1232" w:rsidP="001B728D">
      <w:pPr>
        <w:spacing w:line="480" w:lineRule="auto"/>
        <w:ind w:firstLine="720"/>
        <w:jc w:val="left"/>
        <w:rPr>
          <w:rFonts w:ascii="Times New Roman" w:hAnsi="Times New Roman" w:cs="Times New Roman"/>
          <w:sz w:val="24"/>
        </w:rPr>
      </w:pPr>
      <w:r>
        <w:rPr>
          <w:rFonts w:ascii="Times New Roman" w:hAnsi="Times New Roman" w:cs="Times New Roman"/>
          <w:sz w:val="24"/>
        </w:rPr>
        <w:t xml:space="preserve">In addition, NESEM (2019) </w:t>
      </w:r>
      <w:r w:rsidR="00A97B34">
        <w:rPr>
          <w:rFonts w:ascii="Times New Roman" w:hAnsi="Times New Roman" w:cs="Times New Roman"/>
          <w:sz w:val="24"/>
        </w:rPr>
        <w:t xml:space="preserve">indicates that inequities can manifest in three primary ways: </w:t>
      </w:r>
      <w:r w:rsidRPr="00FA1232">
        <w:rPr>
          <w:rFonts w:ascii="Times New Roman" w:hAnsi="Times New Roman" w:cs="Times New Roman"/>
          <w:sz w:val="24"/>
        </w:rPr>
        <w:t xml:space="preserve">excessive disparities in educational outcomes or resource access, misalignment between resources and student needs, and inadequate efforts to mitigate structural disadvantages such as economic hardship or segregation. </w:t>
      </w:r>
      <w:r>
        <w:rPr>
          <w:rFonts w:ascii="Times New Roman" w:hAnsi="Times New Roman" w:cs="Times New Roman"/>
          <w:sz w:val="24"/>
        </w:rPr>
        <w:t>In other words</w:t>
      </w:r>
      <w:r w:rsidRPr="00FA1232">
        <w:rPr>
          <w:rFonts w:ascii="Times New Roman" w:hAnsi="Times New Roman" w:cs="Times New Roman"/>
          <w:sz w:val="24"/>
        </w:rPr>
        <w:t xml:space="preserve">, this framework shifts the focus from merely assessing whether students meet specific benchmarks to interrogating the systemic conditions that shape those outcomes. </w:t>
      </w:r>
    </w:p>
    <w:p w14:paraId="670A4712" w14:textId="2EB3B884" w:rsidR="00931199" w:rsidRDefault="00931199" w:rsidP="001B728D">
      <w:pPr>
        <w:spacing w:line="480" w:lineRule="auto"/>
        <w:jc w:val="left"/>
        <w:rPr>
          <w:rFonts w:ascii="Times New Roman" w:hAnsi="Times New Roman" w:cs="Times New Roman"/>
          <w:b/>
          <w:bCs/>
          <w:sz w:val="24"/>
        </w:rPr>
      </w:pPr>
      <w:r w:rsidRPr="00931199">
        <w:rPr>
          <w:rFonts w:ascii="Times New Roman" w:hAnsi="Times New Roman" w:cs="Times New Roman"/>
          <w:b/>
          <w:bCs/>
          <w:sz w:val="24"/>
        </w:rPr>
        <w:t>Types</w:t>
      </w:r>
      <w:r w:rsidR="00F2223F">
        <w:rPr>
          <w:rFonts w:ascii="Times New Roman" w:hAnsi="Times New Roman" w:cs="Times New Roman"/>
          <w:b/>
          <w:bCs/>
          <w:sz w:val="24"/>
        </w:rPr>
        <w:t xml:space="preserve"> </w:t>
      </w:r>
      <w:r w:rsidR="00174FC5">
        <w:rPr>
          <w:rFonts w:ascii="Times New Roman" w:hAnsi="Times New Roman" w:cs="Times New Roman"/>
          <w:b/>
          <w:bCs/>
          <w:sz w:val="24"/>
        </w:rPr>
        <w:t>of</w:t>
      </w:r>
      <w:r w:rsidR="00174FC5" w:rsidRPr="00931199">
        <w:rPr>
          <w:rFonts w:ascii="Times New Roman" w:hAnsi="Times New Roman" w:cs="Times New Roman"/>
          <w:b/>
          <w:bCs/>
          <w:sz w:val="24"/>
        </w:rPr>
        <w:t xml:space="preserve"> Advanced</w:t>
      </w:r>
      <w:r w:rsidRPr="00931199">
        <w:rPr>
          <w:rFonts w:ascii="Times New Roman" w:hAnsi="Times New Roman" w:cs="Times New Roman"/>
          <w:b/>
          <w:bCs/>
          <w:sz w:val="24"/>
        </w:rPr>
        <w:t xml:space="preserve"> Coursework </w:t>
      </w:r>
    </w:p>
    <w:p w14:paraId="5FC8481C" w14:textId="7ADAE346" w:rsidR="00C55BED" w:rsidRDefault="006D315F" w:rsidP="001B728D">
      <w:pPr>
        <w:spacing w:line="480" w:lineRule="auto"/>
        <w:jc w:val="left"/>
        <w:rPr>
          <w:rFonts w:ascii="Times New Roman" w:hAnsi="Times New Roman" w:cs="Times New Roman"/>
          <w:sz w:val="24"/>
        </w:rPr>
      </w:pPr>
      <w:r>
        <w:rPr>
          <w:rFonts w:ascii="Times New Roman" w:hAnsi="Times New Roman" w:cs="Times New Roman"/>
          <w:b/>
          <w:bCs/>
          <w:sz w:val="24"/>
        </w:rPr>
        <w:tab/>
      </w:r>
      <w:r w:rsidR="00BF3EF8" w:rsidRPr="00BF3EF8">
        <w:rPr>
          <w:rFonts w:ascii="Times New Roman" w:hAnsi="Times New Roman" w:cs="Times New Roman"/>
          <w:sz w:val="24"/>
        </w:rPr>
        <w:t xml:space="preserve">Advanced Placement (AP) courses are among the most widely recognized forms of rigorous coursework (Morgan et al., 2018). </w:t>
      </w:r>
      <w:r w:rsidR="00C12E04">
        <w:rPr>
          <w:rFonts w:ascii="Times New Roman" w:hAnsi="Times New Roman" w:cs="Times New Roman"/>
          <w:sz w:val="24"/>
        </w:rPr>
        <w:t>They are designed</w:t>
      </w:r>
      <w:r w:rsidR="00C55BED">
        <w:rPr>
          <w:rFonts w:ascii="Times New Roman" w:hAnsi="Times New Roman" w:cs="Times New Roman"/>
          <w:sz w:val="24"/>
        </w:rPr>
        <w:t xml:space="preserve"> </w:t>
      </w:r>
      <w:r w:rsidR="00BF3EF8" w:rsidRPr="00BF3EF8">
        <w:rPr>
          <w:rFonts w:ascii="Times New Roman" w:hAnsi="Times New Roman" w:cs="Times New Roman"/>
          <w:sz w:val="24"/>
        </w:rPr>
        <w:t xml:space="preserve">to mirror college-level work, allowing students to earn college credits, bypass introductory college classes, and develop skills essential for </w:t>
      </w:r>
      <w:r w:rsidR="00BF3EF8">
        <w:rPr>
          <w:rFonts w:ascii="Times New Roman" w:hAnsi="Times New Roman" w:cs="Times New Roman"/>
          <w:sz w:val="24"/>
        </w:rPr>
        <w:t>college success</w:t>
      </w:r>
      <w:r w:rsidR="00BF3EF8" w:rsidRPr="00BF3EF8">
        <w:rPr>
          <w:rFonts w:ascii="Times New Roman" w:hAnsi="Times New Roman" w:cs="Times New Roman"/>
          <w:sz w:val="24"/>
        </w:rPr>
        <w:t xml:space="preserve"> (Morgan et al., 2018; NASEM, 2019). To receive college credit</w:t>
      </w:r>
      <w:r w:rsidR="007E1FBB">
        <w:rPr>
          <w:rFonts w:ascii="Times New Roman" w:hAnsi="Times New Roman" w:cs="Times New Roman"/>
          <w:sz w:val="24"/>
        </w:rPr>
        <w:t>s</w:t>
      </w:r>
      <w:r w:rsidR="00BF3EF8" w:rsidRPr="00BF3EF8">
        <w:rPr>
          <w:rFonts w:ascii="Times New Roman" w:hAnsi="Times New Roman" w:cs="Times New Roman"/>
          <w:sz w:val="24"/>
        </w:rPr>
        <w:t xml:space="preserve">, students must take standardized AP exams, with credit eligibility determined by their </w:t>
      </w:r>
      <w:r w:rsidR="00BF3EF8" w:rsidRPr="00BF3EF8">
        <w:rPr>
          <w:rFonts w:ascii="Times New Roman" w:hAnsi="Times New Roman" w:cs="Times New Roman"/>
          <w:sz w:val="24"/>
        </w:rPr>
        <w:lastRenderedPageBreak/>
        <w:t>performance (Morgan et al., 2018). Research highlights the strong predictive relationship between AP exam participation and postsecondary success</w:t>
      </w:r>
      <w:r w:rsidR="00C12E04">
        <w:rPr>
          <w:rFonts w:ascii="Times New Roman" w:hAnsi="Times New Roman" w:cs="Times New Roman"/>
          <w:sz w:val="24"/>
        </w:rPr>
        <w:t xml:space="preserve"> (</w:t>
      </w:r>
      <w:proofErr w:type="spellStart"/>
      <w:r w:rsidR="00C12E04">
        <w:rPr>
          <w:rFonts w:ascii="Times New Roman" w:hAnsi="Times New Roman" w:cs="Times New Roman"/>
          <w:sz w:val="24"/>
        </w:rPr>
        <w:t>Handwerk</w:t>
      </w:r>
      <w:proofErr w:type="spellEnd"/>
      <w:r w:rsidR="00C12E04">
        <w:rPr>
          <w:rFonts w:ascii="Times New Roman" w:hAnsi="Times New Roman" w:cs="Times New Roman" w:hint="eastAsia"/>
          <w:sz w:val="24"/>
        </w:rPr>
        <w:t xml:space="preserve"> </w:t>
      </w:r>
      <w:r w:rsidR="00C12E04">
        <w:rPr>
          <w:rFonts w:ascii="Times New Roman" w:hAnsi="Times New Roman" w:cs="Times New Roman"/>
          <w:sz w:val="24"/>
        </w:rPr>
        <w:t xml:space="preserve">et al, 2008; Mattern et al., 2013; </w:t>
      </w:r>
      <w:r w:rsidR="00C12E04" w:rsidRPr="00BF3EF8">
        <w:rPr>
          <w:rFonts w:ascii="Times New Roman" w:hAnsi="Times New Roman" w:cs="Times New Roman"/>
          <w:sz w:val="24"/>
        </w:rPr>
        <w:t>Morgan et al., 2018</w:t>
      </w:r>
      <w:r w:rsidR="00C12E04">
        <w:rPr>
          <w:rFonts w:ascii="Times New Roman" w:hAnsi="Times New Roman" w:cs="Times New Roman"/>
          <w:sz w:val="24"/>
        </w:rPr>
        <w:t>; NASEM, 2019)</w:t>
      </w:r>
      <w:r w:rsidR="00BF3EF8" w:rsidRPr="00BF3EF8">
        <w:rPr>
          <w:rFonts w:ascii="Times New Roman" w:hAnsi="Times New Roman" w:cs="Times New Roman"/>
          <w:sz w:val="24"/>
        </w:rPr>
        <w:t xml:space="preserve">. Mattern et al. (2013) found that 58% of students who took AP exams graduated from college within four years, compared to 38% of those who did not take AP exams. Furthermore, 73% of students who scored high on AP exams graduated within four years, compared to just 37% of those with lower scores. </w:t>
      </w:r>
      <w:r w:rsidR="009626A0">
        <w:rPr>
          <w:rFonts w:ascii="Times New Roman" w:hAnsi="Times New Roman" w:cs="Times New Roman"/>
          <w:sz w:val="24"/>
        </w:rPr>
        <w:t xml:space="preserve">Given </w:t>
      </w:r>
      <w:r w:rsidR="00BF3EF8" w:rsidRPr="00BF3EF8">
        <w:rPr>
          <w:rFonts w:ascii="Times New Roman" w:hAnsi="Times New Roman" w:cs="Times New Roman"/>
          <w:sz w:val="24"/>
        </w:rPr>
        <w:t xml:space="preserve">the role of AP </w:t>
      </w:r>
      <w:r w:rsidR="0050642A">
        <w:rPr>
          <w:rFonts w:ascii="Times New Roman" w:hAnsi="Times New Roman" w:cs="Times New Roman"/>
          <w:sz w:val="24"/>
        </w:rPr>
        <w:t>participation</w:t>
      </w:r>
      <w:r w:rsidR="00C12E04">
        <w:rPr>
          <w:rFonts w:ascii="Times New Roman" w:hAnsi="Times New Roman" w:cs="Times New Roman"/>
          <w:sz w:val="24"/>
        </w:rPr>
        <w:t xml:space="preserve"> and performance</w:t>
      </w:r>
      <w:r w:rsidR="00BF3EF8" w:rsidRPr="00BF3EF8">
        <w:rPr>
          <w:rFonts w:ascii="Times New Roman" w:hAnsi="Times New Roman" w:cs="Times New Roman"/>
          <w:sz w:val="24"/>
        </w:rPr>
        <w:t xml:space="preserve"> in fostering academic achievement and improving college outcomes</w:t>
      </w:r>
      <w:r w:rsidR="009626A0">
        <w:rPr>
          <w:rFonts w:ascii="Times New Roman" w:hAnsi="Times New Roman" w:cs="Times New Roman"/>
          <w:sz w:val="24"/>
        </w:rPr>
        <w:t xml:space="preserve">, </w:t>
      </w:r>
      <w:r w:rsidR="00BF3EF8">
        <w:rPr>
          <w:rFonts w:ascii="Times New Roman" w:hAnsi="Times New Roman" w:cs="Times New Roman"/>
          <w:sz w:val="24"/>
        </w:rPr>
        <w:t>it is crucial for schools to offer AP courses and encourage students to take them (</w:t>
      </w:r>
      <w:proofErr w:type="spellStart"/>
      <w:r w:rsidR="009626A0">
        <w:rPr>
          <w:rFonts w:ascii="Times New Roman" w:hAnsi="Times New Roman" w:cs="Times New Roman"/>
          <w:sz w:val="24"/>
        </w:rPr>
        <w:t>Handwerk</w:t>
      </w:r>
      <w:proofErr w:type="spellEnd"/>
      <w:r w:rsidR="0050642A">
        <w:rPr>
          <w:rFonts w:ascii="Times New Roman" w:hAnsi="Times New Roman" w:cs="Times New Roman" w:hint="eastAsia"/>
          <w:sz w:val="24"/>
        </w:rPr>
        <w:t xml:space="preserve"> </w:t>
      </w:r>
      <w:r w:rsidR="0050642A">
        <w:rPr>
          <w:rFonts w:ascii="Times New Roman" w:hAnsi="Times New Roman" w:cs="Times New Roman"/>
          <w:sz w:val="24"/>
        </w:rPr>
        <w:t>et al, 2008</w:t>
      </w:r>
      <w:r w:rsidR="00174FC5">
        <w:rPr>
          <w:rFonts w:ascii="Times New Roman" w:hAnsi="Times New Roman" w:cs="Times New Roman"/>
          <w:sz w:val="24"/>
        </w:rPr>
        <w:t>; NASEM, 2019</w:t>
      </w:r>
      <w:r w:rsidR="00BF3EF8">
        <w:rPr>
          <w:rFonts w:ascii="Times New Roman" w:hAnsi="Times New Roman" w:cs="Times New Roman"/>
          <w:sz w:val="24"/>
        </w:rPr>
        <w:t xml:space="preserve">). </w:t>
      </w:r>
    </w:p>
    <w:p w14:paraId="70B8B84D" w14:textId="054338C9" w:rsidR="00C55BED" w:rsidRDefault="00174FC5" w:rsidP="001B728D">
      <w:pPr>
        <w:spacing w:line="480" w:lineRule="auto"/>
        <w:ind w:firstLine="720"/>
        <w:jc w:val="left"/>
        <w:rPr>
          <w:rFonts w:ascii="Times New Roman" w:hAnsi="Times New Roman" w:cs="Times New Roman"/>
          <w:sz w:val="24"/>
        </w:rPr>
      </w:pPr>
      <w:r>
        <w:rPr>
          <w:rFonts w:ascii="Times New Roman" w:hAnsi="Times New Roman" w:cs="Times New Roman"/>
          <w:sz w:val="24"/>
        </w:rPr>
        <w:t>Another pathway to college credit in high school is through dual enrollment programs, where students take college-level courses that appear on their high school transcripts (</w:t>
      </w:r>
      <w:r w:rsidRPr="00150B11">
        <w:rPr>
          <w:rFonts w:ascii="Times New Roman" w:hAnsi="Times New Roman" w:cs="Times New Roman"/>
          <w:sz w:val="24"/>
        </w:rPr>
        <w:t>Karp et al., 2007</w:t>
      </w:r>
      <w:r>
        <w:rPr>
          <w:rFonts w:ascii="Times New Roman" w:hAnsi="Times New Roman" w:cs="Times New Roman"/>
          <w:sz w:val="24"/>
        </w:rPr>
        <w:t xml:space="preserve">; </w:t>
      </w:r>
      <w:r w:rsidRPr="00BF3EF8">
        <w:rPr>
          <w:rFonts w:ascii="Times New Roman" w:hAnsi="Times New Roman" w:cs="Times New Roman"/>
          <w:sz w:val="24"/>
        </w:rPr>
        <w:t>Morgan et al., 2018</w:t>
      </w:r>
      <w:r>
        <w:rPr>
          <w:rFonts w:ascii="Times New Roman" w:hAnsi="Times New Roman" w:cs="Times New Roman"/>
          <w:sz w:val="24"/>
        </w:rPr>
        <w:t>). These programs offer students early exposure to college coursework, which can enhance their high school GPA and reduce college costs (</w:t>
      </w:r>
      <w:r w:rsidRPr="00150B11">
        <w:rPr>
          <w:rFonts w:ascii="Times New Roman" w:hAnsi="Times New Roman" w:cs="Times New Roman"/>
          <w:sz w:val="24"/>
        </w:rPr>
        <w:t>Karp et al., 2007</w:t>
      </w:r>
      <w:r>
        <w:rPr>
          <w:rFonts w:ascii="Times New Roman" w:hAnsi="Times New Roman" w:cs="Times New Roman"/>
          <w:sz w:val="24"/>
        </w:rPr>
        <w:t>). In addition, students earning college credits while completing high school tend to be more engaged in the classroom and graduate at higher rates than their peers (</w:t>
      </w:r>
      <w:r w:rsidRPr="00150B11">
        <w:rPr>
          <w:rFonts w:ascii="Times New Roman" w:hAnsi="Times New Roman" w:cs="Times New Roman"/>
          <w:sz w:val="24"/>
        </w:rPr>
        <w:t>Karp et al., 2007</w:t>
      </w:r>
      <w:r>
        <w:rPr>
          <w:rFonts w:ascii="Times New Roman" w:hAnsi="Times New Roman" w:cs="Times New Roman"/>
          <w:sz w:val="24"/>
        </w:rPr>
        <w:t>). Dual enrollment also works as an effective strategy for promoting postsecondary access and persistence (</w:t>
      </w:r>
      <w:r w:rsidRPr="00150B11">
        <w:rPr>
          <w:rFonts w:ascii="Times New Roman" w:hAnsi="Times New Roman" w:cs="Times New Roman"/>
          <w:sz w:val="24"/>
        </w:rPr>
        <w:t>Karp et al., 2007</w:t>
      </w:r>
      <w:r>
        <w:rPr>
          <w:rFonts w:ascii="Times New Roman" w:hAnsi="Times New Roman" w:cs="Times New Roman"/>
          <w:sz w:val="24"/>
        </w:rPr>
        <w:t xml:space="preserve">). </w:t>
      </w:r>
    </w:p>
    <w:p w14:paraId="6C1CD23A" w14:textId="11BEA17D" w:rsidR="00C55BED" w:rsidRDefault="00C55BED" w:rsidP="001B728D">
      <w:pPr>
        <w:spacing w:line="480" w:lineRule="auto"/>
        <w:ind w:firstLine="720"/>
        <w:jc w:val="left"/>
        <w:rPr>
          <w:rFonts w:ascii="Times New Roman" w:hAnsi="Times New Roman" w:cs="Times New Roman"/>
          <w:sz w:val="24"/>
        </w:rPr>
      </w:pPr>
      <w:r w:rsidRPr="00C55BED">
        <w:rPr>
          <w:rFonts w:ascii="Times New Roman" w:hAnsi="Times New Roman" w:cs="Times New Roman"/>
          <w:sz w:val="24"/>
        </w:rPr>
        <w:t>Certain high school STEM courses, such as Algebra II, Calculus, Biology, Chemistry, and Physics, are also rigorous</w:t>
      </w:r>
      <w:r w:rsidR="00C12E04">
        <w:rPr>
          <w:rFonts w:ascii="Times New Roman" w:hAnsi="Times New Roman" w:cs="Times New Roman"/>
          <w:sz w:val="24"/>
        </w:rPr>
        <w:t xml:space="preserve"> coursework</w:t>
      </w:r>
      <w:r w:rsidRPr="00C55BED">
        <w:rPr>
          <w:rFonts w:ascii="Times New Roman" w:hAnsi="Times New Roman" w:cs="Times New Roman"/>
          <w:sz w:val="24"/>
        </w:rPr>
        <w:t xml:space="preserve"> (NASEM, 2019). Success in these courses is associated not only with improved performance in math and science but also with achieving a cumulative GPA of 3.0 or higher, persisting in STEM majors, and earning STEM-related </w:t>
      </w:r>
      <w:r w:rsidR="007E1FBB">
        <w:rPr>
          <w:rFonts w:ascii="Times New Roman" w:hAnsi="Times New Roman" w:cs="Times New Roman"/>
          <w:sz w:val="24"/>
        </w:rPr>
        <w:t>bachelor’s</w:t>
      </w:r>
      <w:r w:rsidRPr="00C55BED">
        <w:rPr>
          <w:rFonts w:ascii="Times New Roman" w:hAnsi="Times New Roman" w:cs="Times New Roman"/>
          <w:sz w:val="24"/>
        </w:rPr>
        <w:t xml:space="preserve"> degrees (Godwin, 2023). These courses </w:t>
      </w:r>
      <w:r w:rsidR="00C12E04">
        <w:rPr>
          <w:rFonts w:ascii="Times New Roman" w:hAnsi="Times New Roman" w:cs="Times New Roman"/>
          <w:sz w:val="24"/>
        </w:rPr>
        <w:t xml:space="preserve">also </w:t>
      </w:r>
      <w:r w:rsidRPr="00C55BED">
        <w:rPr>
          <w:rFonts w:ascii="Times New Roman" w:hAnsi="Times New Roman" w:cs="Times New Roman"/>
          <w:sz w:val="24"/>
        </w:rPr>
        <w:t xml:space="preserve">help students develop necessary </w:t>
      </w:r>
      <w:r w:rsidR="007E1FBB" w:rsidRPr="00C55BED">
        <w:rPr>
          <w:rFonts w:ascii="Times New Roman" w:hAnsi="Times New Roman" w:cs="Times New Roman"/>
          <w:sz w:val="24"/>
        </w:rPr>
        <w:t xml:space="preserve">skills </w:t>
      </w:r>
      <w:r w:rsidRPr="00C55BED">
        <w:rPr>
          <w:rFonts w:ascii="Times New Roman" w:hAnsi="Times New Roman" w:cs="Times New Roman"/>
          <w:sz w:val="24"/>
        </w:rPr>
        <w:t>for high- and middle-skill careers in fields such as healthcare, financial operations, and computer science</w:t>
      </w:r>
      <w:r w:rsidR="00C12E04">
        <w:rPr>
          <w:rFonts w:ascii="Times New Roman" w:hAnsi="Times New Roman" w:cs="Times New Roman"/>
          <w:sz w:val="24"/>
        </w:rPr>
        <w:t xml:space="preserve"> (</w:t>
      </w:r>
      <w:r w:rsidR="00C12E04" w:rsidRPr="00C55BED">
        <w:rPr>
          <w:rFonts w:ascii="Times New Roman" w:hAnsi="Times New Roman" w:cs="Times New Roman"/>
          <w:sz w:val="24"/>
        </w:rPr>
        <w:t xml:space="preserve">Godwin, </w:t>
      </w:r>
      <w:r w:rsidR="00C12E04" w:rsidRPr="00C55BED">
        <w:rPr>
          <w:rFonts w:ascii="Times New Roman" w:hAnsi="Times New Roman" w:cs="Times New Roman"/>
          <w:sz w:val="24"/>
        </w:rPr>
        <w:lastRenderedPageBreak/>
        <w:t>2023</w:t>
      </w:r>
      <w:r w:rsidR="00C12E04">
        <w:rPr>
          <w:rFonts w:ascii="Times New Roman" w:hAnsi="Times New Roman" w:cs="Times New Roman"/>
          <w:sz w:val="24"/>
        </w:rPr>
        <w:t>)</w:t>
      </w:r>
      <w:r w:rsidRPr="00C55BED">
        <w:rPr>
          <w:rFonts w:ascii="Times New Roman" w:hAnsi="Times New Roman" w:cs="Times New Roman"/>
          <w:sz w:val="24"/>
        </w:rPr>
        <w:t xml:space="preserve">. Collectively, AP courses, dual enrollment, and </w:t>
      </w:r>
      <w:r>
        <w:rPr>
          <w:rFonts w:ascii="Times New Roman" w:hAnsi="Times New Roman" w:cs="Times New Roman"/>
          <w:sz w:val="24"/>
        </w:rPr>
        <w:t xml:space="preserve">advanced </w:t>
      </w:r>
      <w:r w:rsidRPr="00C55BED">
        <w:rPr>
          <w:rFonts w:ascii="Times New Roman" w:hAnsi="Times New Roman" w:cs="Times New Roman"/>
          <w:sz w:val="24"/>
        </w:rPr>
        <w:t xml:space="preserve">STEM coursework have been identified by NASEM (2019) as key </w:t>
      </w:r>
      <w:r>
        <w:rPr>
          <w:rFonts w:ascii="Times New Roman" w:hAnsi="Times New Roman" w:cs="Times New Roman"/>
          <w:sz w:val="24"/>
        </w:rPr>
        <w:t>measures</w:t>
      </w:r>
      <w:r w:rsidRPr="00C55BED">
        <w:rPr>
          <w:rFonts w:ascii="Times New Roman" w:hAnsi="Times New Roman" w:cs="Times New Roman"/>
          <w:sz w:val="24"/>
        </w:rPr>
        <w:t xml:space="preserve"> of </w:t>
      </w:r>
      <w:r w:rsidR="007E1FBB">
        <w:rPr>
          <w:rFonts w:ascii="Times New Roman" w:hAnsi="Times New Roman" w:cs="Times New Roman"/>
          <w:sz w:val="24"/>
        </w:rPr>
        <w:t>A</w:t>
      </w:r>
      <w:r w:rsidRPr="00C55BED">
        <w:rPr>
          <w:rFonts w:ascii="Times New Roman" w:hAnsi="Times New Roman" w:cs="Times New Roman"/>
          <w:sz w:val="24"/>
        </w:rPr>
        <w:t xml:space="preserve">ccess to and </w:t>
      </w:r>
      <w:r w:rsidR="007E1FBB">
        <w:rPr>
          <w:rFonts w:ascii="Times New Roman" w:hAnsi="Times New Roman" w:cs="Times New Roman"/>
          <w:sz w:val="24"/>
        </w:rPr>
        <w:t>E</w:t>
      </w:r>
      <w:r w:rsidRPr="00C55BED">
        <w:rPr>
          <w:rFonts w:ascii="Times New Roman" w:hAnsi="Times New Roman" w:cs="Times New Roman"/>
          <w:sz w:val="24"/>
        </w:rPr>
        <w:t xml:space="preserve">nrollment in </w:t>
      </w:r>
      <w:r w:rsidR="007E1FBB">
        <w:rPr>
          <w:rFonts w:ascii="Times New Roman" w:hAnsi="Times New Roman" w:cs="Times New Roman"/>
          <w:sz w:val="24"/>
        </w:rPr>
        <w:t>R</w:t>
      </w:r>
      <w:r>
        <w:rPr>
          <w:rFonts w:ascii="Times New Roman" w:hAnsi="Times New Roman" w:cs="Times New Roman"/>
          <w:sz w:val="24"/>
        </w:rPr>
        <w:t xml:space="preserve">igorous </w:t>
      </w:r>
      <w:r w:rsidR="007E1FBB">
        <w:rPr>
          <w:rFonts w:ascii="Times New Roman" w:hAnsi="Times New Roman" w:cs="Times New Roman"/>
          <w:sz w:val="24"/>
        </w:rPr>
        <w:t>C</w:t>
      </w:r>
      <w:r>
        <w:rPr>
          <w:rFonts w:ascii="Times New Roman" w:hAnsi="Times New Roman" w:cs="Times New Roman"/>
          <w:sz w:val="24"/>
        </w:rPr>
        <w:t>oursework</w:t>
      </w:r>
      <w:r w:rsidRPr="00C55BED">
        <w:rPr>
          <w:rFonts w:ascii="Times New Roman" w:hAnsi="Times New Roman" w:cs="Times New Roman"/>
          <w:sz w:val="24"/>
        </w:rPr>
        <w:t>.</w:t>
      </w:r>
    </w:p>
    <w:p w14:paraId="7CB0AE9E" w14:textId="37500955" w:rsidR="0049347B" w:rsidRPr="0082305B" w:rsidRDefault="0082305B" w:rsidP="001B728D">
      <w:pPr>
        <w:spacing w:line="480" w:lineRule="auto"/>
        <w:jc w:val="left"/>
        <w:rPr>
          <w:rFonts w:ascii="Times New Roman" w:hAnsi="Times New Roman" w:cs="Times New Roman"/>
          <w:b/>
          <w:bCs/>
          <w:sz w:val="24"/>
        </w:rPr>
      </w:pPr>
      <w:r>
        <w:rPr>
          <w:rFonts w:ascii="Times New Roman" w:hAnsi="Times New Roman" w:cs="Times New Roman"/>
          <w:b/>
          <w:bCs/>
          <w:sz w:val="24"/>
        </w:rPr>
        <w:t xml:space="preserve">Role of Advanced Coursework in Educational Attainment </w:t>
      </w:r>
    </w:p>
    <w:p w14:paraId="11153553" w14:textId="77777777" w:rsidR="007E1FBB" w:rsidRDefault="00C55BED" w:rsidP="007E1FBB">
      <w:pPr>
        <w:spacing w:line="480" w:lineRule="auto"/>
        <w:ind w:firstLine="720"/>
        <w:jc w:val="left"/>
        <w:rPr>
          <w:rFonts w:ascii="Times New Roman" w:hAnsi="Times New Roman" w:cs="Times New Roman"/>
          <w:sz w:val="24"/>
        </w:rPr>
      </w:pPr>
      <w:r>
        <w:rPr>
          <w:rFonts w:ascii="Times New Roman" w:hAnsi="Times New Roman" w:cs="Times New Roman"/>
          <w:sz w:val="24"/>
        </w:rPr>
        <w:t>Many</w:t>
      </w:r>
      <w:r w:rsidRPr="00C777CD">
        <w:rPr>
          <w:rFonts w:ascii="Times New Roman" w:hAnsi="Times New Roman" w:cs="Times New Roman"/>
          <w:sz w:val="24"/>
        </w:rPr>
        <w:t xml:space="preserve"> studies have used national samples of high school students </w:t>
      </w:r>
      <w:r>
        <w:rPr>
          <w:rFonts w:ascii="Times New Roman" w:hAnsi="Times New Roman" w:cs="Times New Roman"/>
          <w:sz w:val="24"/>
        </w:rPr>
        <w:t xml:space="preserve">to show the positive </w:t>
      </w:r>
      <w:r w:rsidR="00C12E04">
        <w:rPr>
          <w:rFonts w:ascii="Times New Roman" w:hAnsi="Times New Roman" w:cs="Times New Roman"/>
          <w:sz w:val="24"/>
        </w:rPr>
        <w:t>association</w:t>
      </w:r>
      <w:r>
        <w:rPr>
          <w:rFonts w:ascii="Times New Roman" w:hAnsi="Times New Roman" w:cs="Times New Roman"/>
          <w:sz w:val="24"/>
        </w:rPr>
        <w:t xml:space="preserve"> </w:t>
      </w:r>
      <w:r w:rsidR="00C12E04">
        <w:rPr>
          <w:rFonts w:ascii="Times New Roman" w:hAnsi="Times New Roman" w:cs="Times New Roman"/>
          <w:sz w:val="24"/>
        </w:rPr>
        <w:t>between</w:t>
      </w:r>
      <w:r>
        <w:rPr>
          <w:rFonts w:ascii="Times New Roman" w:hAnsi="Times New Roman" w:cs="Times New Roman"/>
          <w:sz w:val="24"/>
        </w:rPr>
        <w:t xml:space="preserve"> </w:t>
      </w:r>
      <w:r w:rsidRPr="00150B11">
        <w:rPr>
          <w:rFonts w:ascii="Times New Roman" w:hAnsi="Times New Roman" w:cs="Times New Roman"/>
          <w:sz w:val="24"/>
        </w:rPr>
        <w:t xml:space="preserve">increased academic intensity </w:t>
      </w:r>
      <w:r w:rsidR="00C12E04">
        <w:rPr>
          <w:rFonts w:ascii="Times New Roman" w:hAnsi="Times New Roman" w:cs="Times New Roman"/>
          <w:sz w:val="24"/>
        </w:rPr>
        <w:t>and</w:t>
      </w:r>
      <w:r w:rsidRPr="00C777CD">
        <w:rPr>
          <w:rFonts w:ascii="Times New Roman" w:hAnsi="Times New Roman" w:cs="Times New Roman"/>
          <w:sz w:val="24"/>
        </w:rPr>
        <w:t xml:space="preserve"> </w:t>
      </w:r>
      <w:r w:rsidRPr="00150B11">
        <w:rPr>
          <w:rFonts w:ascii="Times New Roman" w:hAnsi="Times New Roman" w:cs="Times New Roman"/>
          <w:sz w:val="24"/>
        </w:rPr>
        <w:t>standardized test scores (</w:t>
      </w:r>
      <w:proofErr w:type="spellStart"/>
      <w:r w:rsidRPr="00932F21">
        <w:rPr>
          <w:rFonts w:ascii="Times New Roman" w:hAnsi="Times New Roman" w:cs="Times New Roman"/>
          <w:sz w:val="24"/>
        </w:rPr>
        <w:t>Attewell</w:t>
      </w:r>
      <w:proofErr w:type="spellEnd"/>
      <w:r w:rsidRPr="00932F21">
        <w:rPr>
          <w:rFonts w:ascii="Times New Roman" w:hAnsi="Times New Roman" w:cs="Times New Roman"/>
          <w:sz w:val="24"/>
        </w:rPr>
        <w:t xml:space="preserve"> &amp; Domina, 2008</w:t>
      </w:r>
      <w:r>
        <w:rPr>
          <w:rFonts w:ascii="Times New Roman" w:hAnsi="Times New Roman" w:cs="Times New Roman"/>
          <w:sz w:val="24"/>
        </w:rPr>
        <w:t xml:space="preserve">; </w:t>
      </w:r>
      <w:r w:rsidRPr="00150B11">
        <w:rPr>
          <w:rFonts w:ascii="Times New Roman" w:hAnsi="Times New Roman" w:cs="Times New Roman"/>
          <w:sz w:val="24"/>
        </w:rPr>
        <w:t>Lee, 2012</w:t>
      </w:r>
      <w:r>
        <w:rPr>
          <w:rFonts w:ascii="Times New Roman" w:hAnsi="Times New Roman" w:cs="Times New Roman"/>
          <w:sz w:val="24"/>
        </w:rPr>
        <w:t xml:space="preserve">), </w:t>
      </w:r>
      <w:r w:rsidRPr="00C777CD">
        <w:rPr>
          <w:rFonts w:ascii="Times New Roman" w:hAnsi="Times New Roman" w:cs="Times New Roman"/>
          <w:sz w:val="24"/>
        </w:rPr>
        <w:t>high school graduation</w:t>
      </w:r>
      <w:r>
        <w:rPr>
          <w:rFonts w:ascii="Times New Roman" w:hAnsi="Times New Roman" w:cs="Times New Roman"/>
          <w:sz w:val="24"/>
        </w:rPr>
        <w:t xml:space="preserve"> (Morgan et al., 2018; Schneider et al., 1998), </w:t>
      </w:r>
      <w:r w:rsidRPr="00C777CD">
        <w:rPr>
          <w:rFonts w:ascii="Times New Roman" w:hAnsi="Times New Roman" w:cs="Times New Roman"/>
          <w:sz w:val="24"/>
        </w:rPr>
        <w:t>postsecondary entry</w:t>
      </w:r>
      <w:r>
        <w:rPr>
          <w:rFonts w:ascii="Times New Roman" w:hAnsi="Times New Roman" w:cs="Times New Roman"/>
          <w:sz w:val="24"/>
        </w:rPr>
        <w:t xml:space="preserve"> and</w:t>
      </w:r>
      <w:r w:rsidRPr="00C777CD">
        <w:rPr>
          <w:rFonts w:ascii="Times New Roman" w:hAnsi="Times New Roman" w:cs="Times New Roman"/>
          <w:sz w:val="24"/>
        </w:rPr>
        <w:t xml:space="preserve"> performance</w:t>
      </w:r>
      <w:r>
        <w:rPr>
          <w:rFonts w:ascii="Times New Roman" w:hAnsi="Times New Roman" w:cs="Times New Roman"/>
          <w:sz w:val="24"/>
        </w:rPr>
        <w:t xml:space="preserve"> (</w:t>
      </w:r>
      <w:proofErr w:type="spellStart"/>
      <w:r w:rsidR="00B538CC" w:rsidRPr="00932F21">
        <w:rPr>
          <w:rFonts w:ascii="Times New Roman" w:hAnsi="Times New Roman" w:cs="Times New Roman"/>
          <w:sz w:val="24"/>
        </w:rPr>
        <w:t>Attewell</w:t>
      </w:r>
      <w:proofErr w:type="spellEnd"/>
      <w:r w:rsidR="00B538CC" w:rsidRPr="00932F21">
        <w:rPr>
          <w:rFonts w:ascii="Times New Roman" w:hAnsi="Times New Roman" w:cs="Times New Roman"/>
          <w:sz w:val="24"/>
        </w:rPr>
        <w:t xml:space="preserve"> &amp; Domina, 2008</w:t>
      </w:r>
      <w:r w:rsidR="00B538CC">
        <w:rPr>
          <w:rFonts w:ascii="Times New Roman" w:hAnsi="Times New Roman" w:cs="Times New Roman"/>
          <w:sz w:val="24"/>
        </w:rPr>
        <w:t xml:space="preserve">; </w:t>
      </w:r>
      <w:r w:rsidRPr="00150B11">
        <w:rPr>
          <w:rFonts w:ascii="Times New Roman" w:hAnsi="Times New Roman" w:cs="Times New Roman"/>
          <w:sz w:val="24"/>
        </w:rPr>
        <w:t xml:space="preserve">Karp et al., 2007; </w:t>
      </w:r>
      <w:r>
        <w:rPr>
          <w:rFonts w:ascii="Times New Roman" w:hAnsi="Times New Roman" w:cs="Times New Roman"/>
          <w:sz w:val="24"/>
        </w:rPr>
        <w:t xml:space="preserve">Long et al., 2009), </w:t>
      </w:r>
      <w:r w:rsidRPr="00150B11">
        <w:rPr>
          <w:rFonts w:ascii="Times New Roman" w:hAnsi="Times New Roman" w:cs="Times New Roman"/>
          <w:sz w:val="24"/>
        </w:rPr>
        <w:t>reduced remediation needs (Hein et al., 2013)</w:t>
      </w:r>
      <w:r w:rsidR="00C12E04">
        <w:rPr>
          <w:rFonts w:ascii="Times New Roman" w:hAnsi="Times New Roman" w:cs="Times New Roman"/>
          <w:sz w:val="24"/>
        </w:rPr>
        <w:t>,</w:t>
      </w:r>
      <w:r>
        <w:rPr>
          <w:rFonts w:ascii="Times New Roman" w:hAnsi="Times New Roman" w:cs="Times New Roman"/>
          <w:sz w:val="24"/>
        </w:rPr>
        <w:t xml:space="preserve"> a</w:t>
      </w:r>
      <w:r w:rsidRPr="00C777CD">
        <w:rPr>
          <w:rFonts w:ascii="Times New Roman" w:hAnsi="Times New Roman" w:cs="Times New Roman"/>
          <w:sz w:val="24"/>
        </w:rPr>
        <w:t>nd labor market earnings</w:t>
      </w:r>
      <w:r>
        <w:rPr>
          <w:rFonts w:ascii="Times New Roman" w:hAnsi="Times New Roman" w:cs="Times New Roman"/>
          <w:sz w:val="24"/>
        </w:rPr>
        <w:t xml:space="preserve"> (J</w:t>
      </w:r>
      <w:r w:rsidRPr="00932F21">
        <w:rPr>
          <w:rFonts w:ascii="Times New Roman" w:hAnsi="Times New Roman" w:cs="Times New Roman"/>
          <w:sz w:val="24"/>
        </w:rPr>
        <w:t>oensen &amp; Nielsen, 2009</w:t>
      </w:r>
      <w:r>
        <w:rPr>
          <w:rFonts w:ascii="Times New Roman" w:hAnsi="Times New Roman" w:cs="Times New Roman"/>
          <w:sz w:val="24"/>
        </w:rPr>
        <w:t xml:space="preserve">). </w:t>
      </w:r>
      <w:r w:rsidRPr="00C2507F">
        <w:rPr>
          <w:rFonts w:ascii="Times New Roman" w:hAnsi="Times New Roman" w:cs="Times New Roman"/>
          <w:sz w:val="24"/>
        </w:rPr>
        <w:t xml:space="preserve">Students who engage in rigorous coursework </w:t>
      </w:r>
      <w:r>
        <w:rPr>
          <w:rFonts w:ascii="Times New Roman" w:hAnsi="Times New Roman" w:cs="Times New Roman"/>
          <w:sz w:val="24"/>
        </w:rPr>
        <w:t>also demonstrate better cognitive strategies necessary for college success</w:t>
      </w:r>
      <w:r w:rsidR="007E1FBB">
        <w:rPr>
          <w:rFonts w:ascii="Times New Roman" w:hAnsi="Times New Roman" w:cs="Times New Roman"/>
          <w:sz w:val="24"/>
        </w:rPr>
        <w:t xml:space="preserve"> and transferable </w:t>
      </w:r>
      <w:r w:rsidRPr="00C2507F">
        <w:rPr>
          <w:rFonts w:ascii="Times New Roman" w:hAnsi="Times New Roman" w:cs="Times New Roman"/>
          <w:sz w:val="24"/>
        </w:rPr>
        <w:t>skills such as writing, problem-solving, and study habits (</w:t>
      </w:r>
      <w:r>
        <w:rPr>
          <w:rFonts w:ascii="Times New Roman" w:hAnsi="Times New Roman" w:cs="Times New Roman"/>
          <w:sz w:val="24"/>
        </w:rPr>
        <w:t>Morgan</w:t>
      </w:r>
      <w:r w:rsidR="00522CFB">
        <w:rPr>
          <w:rFonts w:ascii="Times New Roman" w:hAnsi="Times New Roman" w:cs="Times New Roman"/>
          <w:sz w:val="24"/>
        </w:rPr>
        <w:t xml:space="preserve"> </w:t>
      </w:r>
      <w:r>
        <w:rPr>
          <w:rFonts w:ascii="Times New Roman" w:hAnsi="Times New Roman" w:cs="Times New Roman"/>
          <w:sz w:val="24"/>
        </w:rPr>
        <w:t>et al., 2018; Woods et al., 2018</w:t>
      </w:r>
      <w:r w:rsidRPr="00C2507F">
        <w:rPr>
          <w:rFonts w:ascii="Times New Roman" w:hAnsi="Times New Roman" w:cs="Times New Roman"/>
          <w:sz w:val="24"/>
        </w:rPr>
        <w:t xml:space="preserve">). </w:t>
      </w:r>
      <w:r w:rsidR="0082305B">
        <w:rPr>
          <w:rFonts w:ascii="Times New Roman" w:hAnsi="Times New Roman" w:cs="Times New Roman"/>
          <w:sz w:val="24"/>
        </w:rPr>
        <w:t xml:space="preserve">Particularly, </w:t>
      </w:r>
      <w:proofErr w:type="spellStart"/>
      <w:r w:rsidR="009F71A1" w:rsidRPr="009F71A1">
        <w:rPr>
          <w:rFonts w:ascii="Times New Roman" w:hAnsi="Times New Roman" w:cs="Times New Roman"/>
          <w:sz w:val="24"/>
        </w:rPr>
        <w:t>Ogut</w:t>
      </w:r>
      <w:proofErr w:type="spellEnd"/>
      <w:r w:rsidR="009F71A1" w:rsidRPr="009F71A1">
        <w:rPr>
          <w:rFonts w:ascii="Times New Roman" w:hAnsi="Times New Roman" w:cs="Times New Roman"/>
          <w:sz w:val="24"/>
        </w:rPr>
        <w:t xml:space="preserve"> and colleagues (2021), through clustering students based on the courses they had taken, suggested that students who </w:t>
      </w:r>
      <w:r w:rsidR="00C12E04">
        <w:rPr>
          <w:rFonts w:ascii="Times New Roman" w:hAnsi="Times New Roman" w:cs="Times New Roman"/>
          <w:sz w:val="24"/>
        </w:rPr>
        <w:t>have enrolled</w:t>
      </w:r>
      <w:r w:rsidR="009F71A1" w:rsidRPr="009F71A1">
        <w:rPr>
          <w:rFonts w:ascii="Times New Roman" w:hAnsi="Times New Roman" w:cs="Times New Roman"/>
          <w:sz w:val="24"/>
        </w:rPr>
        <w:t xml:space="preserve"> in advanced courses are more likely to attend four-year colleges.</w:t>
      </w:r>
    </w:p>
    <w:p w14:paraId="3D20C124" w14:textId="564C4AED" w:rsidR="0082305B" w:rsidRDefault="0082305B" w:rsidP="007E1FBB">
      <w:pPr>
        <w:spacing w:line="480" w:lineRule="auto"/>
        <w:ind w:firstLine="720"/>
        <w:jc w:val="left"/>
        <w:rPr>
          <w:rFonts w:ascii="Times New Roman" w:hAnsi="Times New Roman" w:cs="Times New Roman"/>
          <w:sz w:val="24"/>
        </w:rPr>
      </w:pPr>
      <w:r>
        <w:rPr>
          <w:rFonts w:ascii="Times New Roman" w:hAnsi="Times New Roman" w:cs="Times New Roman"/>
          <w:sz w:val="24"/>
        </w:rPr>
        <w:t xml:space="preserve">Long and colleagues (2012) have suggested several possible explanations for the positive </w:t>
      </w:r>
      <w:r w:rsidR="00C12E04">
        <w:rPr>
          <w:rFonts w:ascii="Times New Roman" w:hAnsi="Times New Roman" w:cs="Times New Roman"/>
          <w:sz w:val="24"/>
        </w:rPr>
        <w:t>role</w:t>
      </w:r>
      <w:r>
        <w:rPr>
          <w:rFonts w:ascii="Times New Roman" w:hAnsi="Times New Roman" w:cs="Times New Roman"/>
          <w:sz w:val="24"/>
        </w:rPr>
        <w:t xml:space="preserve"> of advanced coursework</w:t>
      </w:r>
      <w:r w:rsidR="007E1FBB">
        <w:rPr>
          <w:rFonts w:ascii="Times New Roman" w:hAnsi="Times New Roman" w:cs="Times New Roman"/>
          <w:sz w:val="24"/>
        </w:rPr>
        <w:t xml:space="preserve"> in educational attainment</w:t>
      </w:r>
      <w:r>
        <w:rPr>
          <w:rFonts w:ascii="Times New Roman" w:hAnsi="Times New Roman" w:cs="Times New Roman"/>
          <w:sz w:val="24"/>
        </w:rPr>
        <w:t>. First, such courses offer a more academically demanding curriculum and often attract students who are highly motivated, creating a peer group that fosters academic engagement. Second, schools may have assigned their most skilled teachers to advanced courses, which enhances student learning by increasing the quality of instruction.</w:t>
      </w:r>
      <w:r w:rsidR="00C12E04" w:rsidRPr="00C12E04">
        <w:rPr>
          <w:rFonts w:ascii="Times New Roman" w:hAnsi="Times New Roman" w:cs="Times New Roman"/>
          <w:sz w:val="24"/>
        </w:rPr>
        <w:t xml:space="preserve"> </w:t>
      </w:r>
      <w:r w:rsidR="00C12E04">
        <w:rPr>
          <w:rFonts w:ascii="Times New Roman" w:hAnsi="Times New Roman" w:cs="Times New Roman"/>
          <w:sz w:val="24"/>
        </w:rPr>
        <w:t xml:space="preserve">Third, advanced courses may act as signals of student capability to college admission committees, as these courses are typically limited to students who demonstrate high academic potential. </w:t>
      </w:r>
    </w:p>
    <w:p w14:paraId="2E4B400E" w14:textId="5D8F733B" w:rsidR="0082305B" w:rsidRPr="0082305B" w:rsidRDefault="0082305B" w:rsidP="001B728D">
      <w:pPr>
        <w:spacing w:line="480" w:lineRule="auto"/>
        <w:jc w:val="left"/>
        <w:rPr>
          <w:rFonts w:ascii="Times New Roman" w:hAnsi="Times New Roman" w:cs="Times New Roman"/>
          <w:b/>
          <w:bCs/>
          <w:sz w:val="24"/>
        </w:rPr>
      </w:pPr>
      <w:r w:rsidRPr="0082305B">
        <w:rPr>
          <w:rFonts w:ascii="Times New Roman" w:hAnsi="Times New Roman" w:cs="Times New Roman"/>
          <w:b/>
          <w:bCs/>
          <w:sz w:val="24"/>
        </w:rPr>
        <w:t xml:space="preserve">Disparities in Access to Advanced Coursework </w:t>
      </w:r>
    </w:p>
    <w:p w14:paraId="12A3132E" w14:textId="6A20ECAF" w:rsidR="00B47FD4" w:rsidRDefault="0082305B" w:rsidP="001B728D">
      <w:pPr>
        <w:spacing w:line="480" w:lineRule="auto"/>
        <w:jc w:val="left"/>
        <w:rPr>
          <w:rFonts w:ascii="Times New Roman" w:hAnsi="Times New Roman" w:cs="Times New Roman"/>
          <w:sz w:val="24"/>
        </w:rPr>
      </w:pPr>
      <w:r>
        <w:rPr>
          <w:rFonts w:ascii="Times New Roman" w:hAnsi="Times New Roman" w:cs="Times New Roman"/>
          <w:sz w:val="24"/>
        </w:rPr>
        <w:lastRenderedPageBreak/>
        <w:tab/>
        <w:t>Despite the benefits of advanced coursework, r</w:t>
      </w:r>
      <w:r w:rsidRPr="0059262F">
        <w:rPr>
          <w:rFonts w:ascii="Times New Roman" w:hAnsi="Times New Roman" w:cs="Times New Roman"/>
          <w:sz w:val="24"/>
        </w:rPr>
        <w:t xml:space="preserve">esearchers have long recognized that historically </w:t>
      </w:r>
      <w:r w:rsidR="00A97B34">
        <w:rPr>
          <w:rFonts w:ascii="Times New Roman" w:hAnsi="Times New Roman" w:cs="Times New Roman"/>
          <w:sz w:val="24"/>
        </w:rPr>
        <w:t>disadvantaged</w:t>
      </w:r>
      <w:r w:rsidRPr="0059262F">
        <w:rPr>
          <w:rFonts w:ascii="Times New Roman" w:hAnsi="Times New Roman" w:cs="Times New Roman"/>
          <w:sz w:val="24"/>
        </w:rPr>
        <w:t xml:space="preserve"> </w:t>
      </w:r>
      <w:r w:rsidR="00A97B34">
        <w:rPr>
          <w:rFonts w:ascii="Times New Roman" w:hAnsi="Times New Roman" w:cs="Times New Roman"/>
          <w:sz w:val="24"/>
        </w:rPr>
        <w:t>groups</w:t>
      </w:r>
      <w:r w:rsidRPr="0059262F">
        <w:rPr>
          <w:rFonts w:ascii="Times New Roman" w:hAnsi="Times New Roman" w:cs="Times New Roman"/>
          <w:sz w:val="24"/>
        </w:rPr>
        <w:t>, such as students of color and those from low-income backgrounds, often miss out on</w:t>
      </w:r>
      <w:r>
        <w:rPr>
          <w:rFonts w:ascii="Times New Roman" w:hAnsi="Times New Roman" w:cs="Times New Roman"/>
          <w:sz w:val="24"/>
        </w:rPr>
        <w:t xml:space="preserve"> such</w:t>
      </w:r>
      <w:r w:rsidRPr="0059262F">
        <w:rPr>
          <w:rFonts w:ascii="Times New Roman" w:hAnsi="Times New Roman" w:cs="Times New Roman"/>
          <w:sz w:val="24"/>
        </w:rPr>
        <w:t xml:space="preserve"> critical opportunities which can pave the way for success in college and careers (Darling-Hammond, 2010; </w:t>
      </w:r>
      <w:proofErr w:type="spellStart"/>
      <w:r w:rsidRPr="0059262F">
        <w:rPr>
          <w:rFonts w:ascii="Times New Roman" w:hAnsi="Times New Roman" w:cs="Times New Roman"/>
          <w:sz w:val="24"/>
        </w:rPr>
        <w:t>Handwerk</w:t>
      </w:r>
      <w:proofErr w:type="spellEnd"/>
      <w:r w:rsidRPr="0059262F">
        <w:rPr>
          <w:rFonts w:ascii="Times New Roman" w:hAnsi="Times New Roman" w:cs="Times New Roman"/>
          <w:sz w:val="24"/>
        </w:rPr>
        <w:t xml:space="preserve"> et al., 2008; Morgan et al., 2018; Patrick et al., 2020; Solorzano &amp; Ornelas, 2004; </w:t>
      </w:r>
      <w:proofErr w:type="spellStart"/>
      <w:r w:rsidRPr="0059262F">
        <w:rPr>
          <w:rFonts w:ascii="Times New Roman" w:hAnsi="Times New Roman" w:cs="Times New Roman"/>
          <w:sz w:val="24"/>
        </w:rPr>
        <w:t>Theokas</w:t>
      </w:r>
      <w:proofErr w:type="spellEnd"/>
      <w:r w:rsidRPr="0059262F">
        <w:rPr>
          <w:rFonts w:ascii="Times New Roman" w:hAnsi="Times New Roman" w:cs="Times New Roman"/>
          <w:sz w:val="24"/>
        </w:rPr>
        <w:t xml:space="preserve"> &amp; </w:t>
      </w:r>
      <w:proofErr w:type="spellStart"/>
      <w:r w:rsidRPr="0059262F">
        <w:rPr>
          <w:rFonts w:ascii="Times New Roman" w:hAnsi="Times New Roman" w:cs="Times New Roman"/>
          <w:sz w:val="24"/>
        </w:rPr>
        <w:t>Saaris</w:t>
      </w:r>
      <w:proofErr w:type="spellEnd"/>
      <w:r w:rsidRPr="0059262F">
        <w:rPr>
          <w:rFonts w:ascii="Times New Roman" w:hAnsi="Times New Roman" w:cs="Times New Roman"/>
          <w:sz w:val="24"/>
        </w:rPr>
        <w:t xml:space="preserve">, 2013). Patrick and colleagues (2020) </w:t>
      </w:r>
      <w:r>
        <w:rPr>
          <w:rFonts w:ascii="Times New Roman" w:hAnsi="Times New Roman" w:cs="Times New Roman"/>
          <w:sz w:val="24"/>
        </w:rPr>
        <w:t>reported</w:t>
      </w:r>
      <w:r w:rsidRPr="0059262F">
        <w:rPr>
          <w:rFonts w:ascii="Times New Roman" w:hAnsi="Times New Roman" w:cs="Times New Roman"/>
          <w:sz w:val="24"/>
        </w:rPr>
        <w:t xml:space="preserve"> that while </w:t>
      </w:r>
      <w:r w:rsidR="00A97B34">
        <w:rPr>
          <w:rFonts w:ascii="Times New Roman" w:hAnsi="Times New Roman" w:cs="Times New Roman"/>
          <w:sz w:val="24"/>
        </w:rPr>
        <w:t>disadvantaged</w:t>
      </w:r>
      <w:r w:rsidRPr="0059262F">
        <w:rPr>
          <w:rFonts w:ascii="Times New Roman" w:hAnsi="Times New Roman" w:cs="Times New Roman"/>
          <w:sz w:val="24"/>
        </w:rPr>
        <w:t xml:space="preserve"> students perform well in advanced courses when given the opportunity, they remain underrepresented in such courses </w:t>
      </w:r>
      <w:r w:rsidR="00B47FD4">
        <w:rPr>
          <w:rFonts w:ascii="Times New Roman" w:hAnsi="Times New Roman" w:cs="Times New Roman"/>
          <w:sz w:val="24"/>
        </w:rPr>
        <w:t xml:space="preserve">for two salient reasons: </w:t>
      </w:r>
      <w:r w:rsidR="00A62FA8">
        <w:rPr>
          <w:rFonts w:ascii="Times New Roman" w:hAnsi="Times New Roman" w:cs="Times New Roman"/>
          <w:sz w:val="24"/>
        </w:rPr>
        <w:t>F</w:t>
      </w:r>
      <w:r w:rsidR="00B47FD4">
        <w:rPr>
          <w:rFonts w:ascii="Times New Roman" w:hAnsi="Times New Roman" w:cs="Times New Roman"/>
          <w:sz w:val="24"/>
        </w:rPr>
        <w:t>irst,</w:t>
      </w:r>
    </w:p>
    <w:p w14:paraId="0B8A3856" w14:textId="22A6B04D" w:rsidR="00E01374" w:rsidRDefault="00B47FD4" w:rsidP="007E1FBB">
      <w:pPr>
        <w:spacing w:line="480" w:lineRule="auto"/>
        <w:jc w:val="left"/>
        <w:rPr>
          <w:rFonts w:ascii="Times New Roman" w:hAnsi="Times New Roman" w:cs="Times New Roman"/>
          <w:sz w:val="24"/>
        </w:rPr>
      </w:pPr>
      <w:r>
        <w:rPr>
          <w:rFonts w:ascii="Times New Roman" w:hAnsi="Times New Roman" w:cs="Times New Roman"/>
          <w:sz w:val="24"/>
        </w:rPr>
        <w:t>s</w:t>
      </w:r>
      <w:r w:rsidRPr="00B47FD4">
        <w:rPr>
          <w:rFonts w:ascii="Times New Roman" w:hAnsi="Times New Roman" w:cs="Times New Roman"/>
          <w:sz w:val="24"/>
        </w:rPr>
        <w:t xml:space="preserve">chools with predominantly </w:t>
      </w:r>
      <w:r w:rsidR="00A97B34">
        <w:rPr>
          <w:rFonts w:ascii="Times New Roman" w:hAnsi="Times New Roman" w:cs="Times New Roman"/>
          <w:sz w:val="24"/>
        </w:rPr>
        <w:t>disadvantaged</w:t>
      </w:r>
      <w:r w:rsidRPr="00B47FD4">
        <w:rPr>
          <w:rFonts w:ascii="Times New Roman" w:hAnsi="Times New Roman" w:cs="Times New Roman"/>
          <w:sz w:val="24"/>
        </w:rPr>
        <w:t xml:space="preserve"> student</w:t>
      </w:r>
      <w:r>
        <w:rPr>
          <w:rFonts w:ascii="Times New Roman" w:hAnsi="Times New Roman" w:cs="Times New Roman"/>
          <w:sz w:val="24"/>
        </w:rPr>
        <w:t xml:space="preserve">s </w:t>
      </w:r>
      <w:r w:rsidR="00C12E04">
        <w:rPr>
          <w:rFonts w:ascii="Times New Roman" w:hAnsi="Times New Roman" w:cs="Times New Roman"/>
          <w:sz w:val="24"/>
        </w:rPr>
        <w:t>enroll</w:t>
      </w:r>
      <w:r w:rsidRPr="00B47FD4">
        <w:rPr>
          <w:rFonts w:ascii="Times New Roman" w:hAnsi="Times New Roman" w:cs="Times New Roman"/>
          <w:sz w:val="24"/>
        </w:rPr>
        <w:t xml:space="preserve"> fewer students in advanced courses compared to schools with smaller </w:t>
      </w:r>
      <w:r w:rsidR="00A97B34">
        <w:rPr>
          <w:rFonts w:ascii="Times New Roman" w:hAnsi="Times New Roman" w:cs="Times New Roman"/>
          <w:sz w:val="24"/>
        </w:rPr>
        <w:t>disadvantaged</w:t>
      </w:r>
      <w:r w:rsidRPr="00B47FD4">
        <w:rPr>
          <w:rFonts w:ascii="Times New Roman" w:hAnsi="Times New Roman" w:cs="Times New Roman"/>
          <w:sz w:val="24"/>
        </w:rPr>
        <w:t xml:space="preserve"> populations, and </w:t>
      </w:r>
      <w:r>
        <w:rPr>
          <w:rFonts w:ascii="Times New Roman" w:hAnsi="Times New Roman" w:cs="Times New Roman"/>
          <w:sz w:val="24"/>
        </w:rPr>
        <w:t>second,</w:t>
      </w:r>
      <w:r w:rsidRPr="00B47FD4">
        <w:rPr>
          <w:rFonts w:ascii="Times New Roman" w:hAnsi="Times New Roman" w:cs="Times New Roman"/>
          <w:sz w:val="24"/>
        </w:rPr>
        <w:t xml:space="preserve"> schools </w:t>
      </w:r>
      <w:r>
        <w:rPr>
          <w:rFonts w:ascii="Times New Roman" w:hAnsi="Times New Roman" w:cs="Times New Roman"/>
          <w:sz w:val="24"/>
        </w:rPr>
        <w:t xml:space="preserve">may </w:t>
      </w:r>
      <w:r w:rsidRPr="00B47FD4">
        <w:rPr>
          <w:rFonts w:ascii="Times New Roman" w:hAnsi="Times New Roman" w:cs="Times New Roman"/>
          <w:sz w:val="24"/>
        </w:rPr>
        <w:t xml:space="preserve">disproportionately </w:t>
      </w:r>
      <w:r>
        <w:rPr>
          <w:rFonts w:ascii="Times New Roman" w:hAnsi="Times New Roman" w:cs="Times New Roman"/>
          <w:sz w:val="24"/>
        </w:rPr>
        <w:t>restrict</w:t>
      </w:r>
      <w:r w:rsidRPr="00B47FD4">
        <w:rPr>
          <w:rFonts w:ascii="Times New Roman" w:hAnsi="Times New Roman" w:cs="Times New Roman"/>
          <w:sz w:val="24"/>
        </w:rPr>
        <w:t xml:space="preserve"> access to advanced courses for </w:t>
      </w:r>
      <w:r w:rsidR="00A97B34">
        <w:rPr>
          <w:rFonts w:ascii="Times New Roman" w:hAnsi="Times New Roman" w:cs="Times New Roman"/>
          <w:sz w:val="24"/>
        </w:rPr>
        <w:t>disadvantaged</w:t>
      </w:r>
      <w:r w:rsidRPr="00B47FD4">
        <w:rPr>
          <w:rFonts w:ascii="Times New Roman" w:hAnsi="Times New Roman" w:cs="Times New Roman"/>
          <w:sz w:val="24"/>
        </w:rPr>
        <w:t xml:space="preserve"> students.</w:t>
      </w:r>
      <w:r>
        <w:rPr>
          <w:rFonts w:ascii="Times New Roman" w:hAnsi="Times New Roman" w:cs="Times New Roman"/>
          <w:sz w:val="24"/>
        </w:rPr>
        <w:t xml:space="preserve"> </w:t>
      </w:r>
      <w:r w:rsidR="0082305B" w:rsidRPr="00F2223F">
        <w:rPr>
          <w:rFonts w:ascii="Times New Roman" w:hAnsi="Times New Roman" w:cs="Times New Roman"/>
          <w:sz w:val="24"/>
        </w:rPr>
        <w:t xml:space="preserve">Similarly, </w:t>
      </w:r>
      <w:proofErr w:type="spellStart"/>
      <w:r w:rsidR="0082305B" w:rsidRPr="00F2223F">
        <w:rPr>
          <w:rFonts w:ascii="Times New Roman" w:hAnsi="Times New Roman" w:cs="Times New Roman"/>
          <w:sz w:val="24"/>
        </w:rPr>
        <w:t>Handwerk</w:t>
      </w:r>
      <w:proofErr w:type="spellEnd"/>
      <w:r w:rsidR="0082305B" w:rsidRPr="00F2223F">
        <w:rPr>
          <w:rFonts w:ascii="Times New Roman" w:hAnsi="Times New Roman" w:cs="Times New Roman"/>
          <w:sz w:val="24"/>
        </w:rPr>
        <w:t xml:space="preserve"> and colleagues (</w:t>
      </w:r>
      <w:r w:rsidR="005A0D7B">
        <w:rPr>
          <w:rFonts w:ascii="Times New Roman" w:hAnsi="Times New Roman" w:cs="Times New Roman"/>
          <w:sz w:val="24"/>
        </w:rPr>
        <w:t>2008</w:t>
      </w:r>
      <w:r w:rsidR="0082305B" w:rsidRPr="00F2223F">
        <w:rPr>
          <w:rFonts w:ascii="Times New Roman" w:hAnsi="Times New Roman" w:cs="Times New Roman"/>
          <w:sz w:val="24"/>
        </w:rPr>
        <w:t xml:space="preserve">), by clustering schools based on factors such as locale, control, size, and percentage of </w:t>
      </w:r>
      <w:r w:rsidR="00A97B34">
        <w:rPr>
          <w:rFonts w:ascii="Times New Roman" w:hAnsi="Times New Roman" w:cs="Times New Roman"/>
          <w:sz w:val="24"/>
        </w:rPr>
        <w:t>disadvantaged</w:t>
      </w:r>
      <w:r w:rsidR="0082305B" w:rsidRPr="00F2223F">
        <w:rPr>
          <w:rFonts w:ascii="Times New Roman" w:hAnsi="Times New Roman" w:cs="Times New Roman"/>
          <w:sz w:val="24"/>
        </w:rPr>
        <w:t xml:space="preserve"> students, found that across all clusters, low-income students were underrepresented among AP exam takers. Even in highly diverse schools, </w:t>
      </w:r>
      <w:r w:rsidR="00A97B34">
        <w:rPr>
          <w:rFonts w:ascii="Times New Roman" w:hAnsi="Times New Roman" w:cs="Times New Roman"/>
          <w:sz w:val="24"/>
        </w:rPr>
        <w:t>disadvantaged</w:t>
      </w:r>
      <w:r w:rsidR="0082305B" w:rsidRPr="00F2223F">
        <w:rPr>
          <w:rFonts w:ascii="Times New Roman" w:hAnsi="Times New Roman" w:cs="Times New Roman"/>
          <w:sz w:val="24"/>
        </w:rPr>
        <w:t xml:space="preserve"> students were less likely to take AP exams than their White and Asian American peers</w:t>
      </w:r>
      <w:r w:rsidR="0082305B">
        <w:rPr>
          <w:rFonts w:ascii="Times New Roman" w:hAnsi="Times New Roman" w:cs="Times New Roman"/>
          <w:sz w:val="24"/>
        </w:rPr>
        <w:t xml:space="preserve"> (</w:t>
      </w:r>
      <w:proofErr w:type="spellStart"/>
      <w:r w:rsidR="0082305B" w:rsidRPr="00F2223F">
        <w:rPr>
          <w:rFonts w:ascii="Times New Roman" w:hAnsi="Times New Roman" w:cs="Times New Roman"/>
          <w:sz w:val="24"/>
        </w:rPr>
        <w:t>Handwerk</w:t>
      </w:r>
      <w:proofErr w:type="spellEnd"/>
      <w:r w:rsidR="0082305B">
        <w:rPr>
          <w:rFonts w:ascii="Times New Roman" w:hAnsi="Times New Roman" w:cs="Times New Roman"/>
          <w:sz w:val="24"/>
        </w:rPr>
        <w:t xml:space="preserve"> et al., </w:t>
      </w:r>
      <w:r w:rsidR="005A0D7B">
        <w:rPr>
          <w:rFonts w:ascii="Times New Roman" w:hAnsi="Times New Roman" w:cs="Times New Roman"/>
          <w:sz w:val="24"/>
        </w:rPr>
        <w:t>2008</w:t>
      </w:r>
      <w:r w:rsidR="00C12E04">
        <w:rPr>
          <w:rFonts w:ascii="Times New Roman" w:hAnsi="Times New Roman" w:cs="Times New Roman"/>
          <w:sz w:val="24"/>
        </w:rPr>
        <w:t xml:space="preserve">; </w:t>
      </w:r>
      <w:r w:rsidR="00C12E04" w:rsidRPr="0059262F">
        <w:rPr>
          <w:rFonts w:ascii="Times New Roman" w:hAnsi="Times New Roman" w:cs="Times New Roman"/>
          <w:sz w:val="24"/>
        </w:rPr>
        <w:t xml:space="preserve">Solorzano &amp; Ornelas, 2004; </w:t>
      </w:r>
      <w:proofErr w:type="spellStart"/>
      <w:r w:rsidR="00C12E04" w:rsidRPr="0059262F">
        <w:rPr>
          <w:rFonts w:ascii="Times New Roman" w:hAnsi="Times New Roman" w:cs="Times New Roman"/>
          <w:sz w:val="24"/>
        </w:rPr>
        <w:t>Theokas</w:t>
      </w:r>
      <w:proofErr w:type="spellEnd"/>
      <w:r w:rsidR="00C12E04" w:rsidRPr="0059262F">
        <w:rPr>
          <w:rFonts w:ascii="Times New Roman" w:hAnsi="Times New Roman" w:cs="Times New Roman"/>
          <w:sz w:val="24"/>
        </w:rPr>
        <w:t xml:space="preserve"> &amp; </w:t>
      </w:r>
      <w:proofErr w:type="spellStart"/>
      <w:r w:rsidR="00C12E04" w:rsidRPr="0059262F">
        <w:rPr>
          <w:rFonts w:ascii="Times New Roman" w:hAnsi="Times New Roman" w:cs="Times New Roman"/>
          <w:sz w:val="24"/>
        </w:rPr>
        <w:t>Saaris</w:t>
      </w:r>
      <w:proofErr w:type="spellEnd"/>
      <w:r w:rsidR="00C12E04" w:rsidRPr="0059262F">
        <w:rPr>
          <w:rFonts w:ascii="Times New Roman" w:hAnsi="Times New Roman" w:cs="Times New Roman"/>
          <w:sz w:val="24"/>
        </w:rPr>
        <w:t>, 2013</w:t>
      </w:r>
      <w:r w:rsidR="0082305B">
        <w:rPr>
          <w:rFonts w:ascii="Times New Roman" w:hAnsi="Times New Roman" w:cs="Times New Roman"/>
          <w:sz w:val="24"/>
        </w:rPr>
        <w:t>)</w:t>
      </w:r>
      <w:r w:rsidR="0082305B" w:rsidRPr="00F2223F">
        <w:rPr>
          <w:rFonts w:ascii="Times New Roman" w:hAnsi="Times New Roman" w:cs="Times New Roman"/>
          <w:sz w:val="24"/>
        </w:rPr>
        <w:t>.</w:t>
      </w:r>
    </w:p>
    <w:p w14:paraId="6C71C872" w14:textId="160222AF" w:rsidR="00E01374" w:rsidRDefault="00DA3F1A" w:rsidP="001B728D">
      <w:pPr>
        <w:spacing w:line="480" w:lineRule="auto"/>
        <w:rPr>
          <w:rFonts w:ascii="Times New Roman" w:hAnsi="Times New Roman" w:cs="Times New Roman"/>
          <w:b/>
          <w:bCs/>
          <w:sz w:val="24"/>
        </w:rPr>
      </w:pPr>
      <w:r>
        <w:rPr>
          <w:rFonts w:ascii="Times New Roman" w:hAnsi="Times New Roman" w:cs="Times New Roman"/>
          <w:b/>
          <w:bCs/>
          <w:sz w:val="24"/>
        </w:rPr>
        <w:t xml:space="preserve">Current Study </w:t>
      </w:r>
    </w:p>
    <w:p w14:paraId="467152CD" w14:textId="53322C9C" w:rsidR="002D473E" w:rsidRDefault="00B85848" w:rsidP="002D473E">
      <w:pPr>
        <w:spacing w:line="480" w:lineRule="auto"/>
        <w:ind w:firstLine="720"/>
        <w:jc w:val="left"/>
        <w:rPr>
          <w:rFonts w:ascii="Times New Roman" w:hAnsi="Times New Roman" w:cs="Times New Roman"/>
          <w:sz w:val="24"/>
        </w:rPr>
      </w:pPr>
      <w:r>
        <w:rPr>
          <w:rFonts w:ascii="Times New Roman" w:hAnsi="Times New Roman" w:cs="Times New Roman"/>
          <w:sz w:val="24"/>
        </w:rPr>
        <w:t>P</w:t>
      </w:r>
      <w:r w:rsidRPr="00B85848">
        <w:rPr>
          <w:rFonts w:ascii="Times New Roman" w:hAnsi="Times New Roman" w:cs="Times New Roman" w:hint="eastAsia"/>
          <w:sz w:val="24"/>
        </w:rPr>
        <w:t>r</w:t>
      </w:r>
      <w:r w:rsidRPr="00B85848">
        <w:rPr>
          <w:rFonts w:ascii="Times New Roman" w:hAnsi="Times New Roman" w:cs="Times New Roman"/>
          <w:sz w:val="24"/>
        </w:rPr>
        <w:t>evious research has extensively examined the relationship between advanced coursework enrollment and postsecondary outcomes</w:t>
      </w:r>
      <w:r w:rsidR="009F71A1">
        <w:rPr>
          <w:rFonts w:ascii="Times New Roman" w:hAnsi="Times New Roman" w:cs="Times New Roman"/>
          <w:sz w:val="24"/>
        </w:rPr>
        <w:t xml:space="preserve"> and the disparities in access to advanced coursework</w:t>
      </w:r>
      <w:r w:rsidR="00DA3F1A">
        <w:rPr>
          <w:rFonts w:ascii="Times New Roman" w:hAnsi="Times New Roman" w:cs="Times New Roman"/>
          <w:sz w:val="24"/>
        </w:rPr>
        <w:t xml:space="preserve"> (</w:t>
      </w:r>
      <w:r w:rsidR="00C12E04">
        <w:rPr>
          <w:rFonts w:ascii="Times New Roman" w:hAnsi="Times New Roman" w:cs="Times New Roman"/>
          <w:sz w:val="24"/>
        </w:rPr>
        <w:t xml:space="preserve">e.g., </w:t>
      </w:r>
      <w:r w:rsidR="0059262F" w:rsidRPr="00150B11">
        <w:rPr>
          <w:rFonts w:ascii="Times New Roman" w:hAnsi="Times New Roman" w:cs="Times New Roman"/>
          <w:sz w:val="24"/>
        </w:rPr>
        <w:t xml:space="preserve">Karp et al., 2007; </w:t>
      </w:r>
      <w:r w:rsidR="0059262F">
        <w:rPr>
          <w:rFonts w:ascii="Times New Roman" w:hAnsi="Times New Roman" w:cs="Times New Roman"/>
          <w:sz w:val="24"/>
        </w:rPr>
        <w:t>Long et al., 2009</w:t>
      </w:r>
      <w:r w:rsidR="00C12E04">
        <w:rPr>
          <w:rFonts w:ascii="Times New Roman" w:hAnsi="Times New Roman" w:cs="Times New Roman"/>
          <w:sz w:val="24"/>
        </w:rPr>
        <w:t>; Patrick et al., 2020</w:t>
      </w:r>
      <w:r w:rsidR="00DA3F1A">
        <w:rPr>
          <w:rFonts w:ascii="Times New Roman" w:hAnsi="Times New Roman" w:cs="Times New Roman"/>
          <w:sz w:val="24"/>
        </w:rPr>
        <w:t>)</w:t>
      </w:r>
      <w:r w:rsidRPr="00B85848">
        <w:rPr>
          <w:rFonts w:ascii="Times New Roman" w:hAnsi="Times New Roman" w:cs="Times New Roman"/>
          <w:sz w:val="24"/>
        </w:rPr>
        <w:t xml:space="preserve">, and some studies have </w:t>
      </w:r>
      <w:r>
        <w:rPr>
          <w:rFonts w:ascii="Times New Roman" w:hAnsi="Times New Roman" w:cs="Times New Roman" w:hint="eastAsia"/>
          <w:sz w:val="24"/>
        </w:rPr>
        <w:t xml:space="preserve">clustered </w:t>
      </w:r>
      <w:r w:rsidRPr="00B85848">
        <w:rPr>
          <w:rFonts w:ascii="Times New Roman" w:hAnsi="Times New Roman" w:cs="Times New Roman"/>
          <w:sz w:val="24"/>
        </w:rPr>
        <w:t xml:space="preserve">schools </w:t>
      </w:r>
      <w:r w:rsidR="007E1FBB">
        <w:rPr>
          <w:rFonts w:ascii="Times New Roman" w:hAnsi="Times New Roman" w:cs="Times New Roman"/>
          <w:sz w:val="24"/>
        </w:rPr>
        <w:t xml:space="preserve">and students </w:t>
      </w:r>
      <w:r w:rsidRPr="00B85848">
        <w:rPr>
          <w:rFonts w:ascii="Times New Roman" w:hAnsi="Times New Roman" w:cs="Times New Roman"/>
          <w:sz w:val="24"/>
        </w:rPr>
        <w:t>based on</w:t>
      </w:r>
      <w:r w:rsidR="00DA3F1A">
        <w:rPr>
          <w:rFonts w:ascii="Times New Roman" w:hAnsi="Times New Roman" w:cs="Times New Roman"/>
          <w:sz w:val="24"/>
        </w:rPr>
        <w:t xml:space="preserve"> school </w:t>
      </w:r>
      <w:r w:rsidR="007E1FBB">
        <w:rPr>
          <w:rFonts w:ascii="Times New Roman" w:hAnsi="Times New Roman" w:cs="Times New Roman"/>
          <w:sz w:val="24"/>
        </w:rPr>
        <w:t xml:space="preserve">catachrestic </w:t>
      </w:r>
      <w:r w:rsidR="00DA3F1A">
        <w:rPr>
          <w:rFonts w:ascii="Times New Roman" w:hAnsi="Times New Roman" w:cs="Times New Roman"/>
          <w:sz w:val="24"/>
        </w:rPr>
        <w:t>or</w:t>
      </w:r>
      <w:r w:rsidRPr="00B85848">
        <w:rPr>
          <w:rFonts w:ascii="Times New Roman" w:hAnsi="Times New Roman" w:cs="Times New Roman"/>
          <w:sz w:val="24"/>
        </w:rPr>
        <w:t xml:space="preserve"> coursework enrollment</w:t>
      </w:r>
      <w:r w:rsidR="00DA3F1A">
        <w:rPr>
          <w:rFonts w:ascii="Times New Roman" w:hAnsi="Times New Roman" w:cs="Times New Roman" w:hint="eastAsia"/>
          <w:sz w:val="24"/>
        </w:rPr>
        <w:t xml:space="preserve"> (</w:t>
      </w:r>
      <w:proofErr w:type="spellStart"/>
      <w:r w:rsidR="00DA3F1A" w:rsidRPr="00DA3F1A">
        <w:rPr>
          <w:rFonts w:ascii="Times New Roman" w:hAnsi="Times New Roman" w:cs="Times New Roman"/>
          <w:sz w:val="24"/>
        </w:rPr>
        <w:t>Handwerk</w:t>
      </w:r>
      <w:proofErr w:type="spellEnd"/>
      <w:r w:rsidR="00DA3F1A">
        <w:rPr>
          <w:rFonts w:ascii="Times New Roman" w:hAnsi="Times New Roman" w:cs="Times New Roman"/>
          <w:sz w:val="24"/>
        </w:rPr>
        <w:t xml:space="preserve"> et al. 2008; </w:t>
      </w:r>
      <w:proofErr w:type="spellStart"/>
      <w:r w:rsidR="00DA3F1A">
        <w:rPr>
          <w:rFonts w:ascii="Times New Roman" w:hAnsi="Times New Roman" w:cs="Times New Roman"/>
          <w:sz w:val="24"/>
        </w:rPr>
        <w:t>Ogut</w:t>
      </w:r>
      <w:proofErr w:type="spellEnd"/>
      <w:r w:rsidR="00DA3F1A">
        <w:rPr>
          <w:rFonts w:ascii="Times New Roman" w:hAnsi="Times New Roman" w:cs="Times New Roman"/>
          <w:sz w:val="24"/>
        </w:rPr>
        <w:t xml:space="preserve"> et al., 2022). </w:t>
      </w:r>
      <w:r w:rsidRPr="00B85848">
        <w:rPr>
          <w:rFonts w:ascii="Times New Roman" w:hAnsi="Times New Roman" w:cs="Times New Roman"/>
          <w:sz w:val="24"/>
        </w:rPr>
        <w:t xml:space="preserve">However, few studies have combined these two dimensions to explore how they intersect, leaving gaps in understanding the systemic factors influencing both access and outcomes. As NASEM (2019) points out, </w:t>
      </w:r>
      <w:r w:rsidR="0059262F">
        <w:rPr>
          <w:rFonts w:ascii="Times New Roman" w:hAnsi="Times New Roman" w:cs="Times New Roman"/>
          <w:sz w:val="24"/>
        </w:rPr>
        <w:t xml:space="preserve">monitoring equity requires </w:t>
      </w:r>
      <w:r w:rsidR="00A97B34">
        <w:rPr>
          <w:rFonts w:ascii="Times New Roman" w:hAnsi="Times New Roman" w:cs="Times New Roman"/>
          <w:sz w:val="24"/>
        </w:rPr>
        <w:lastRenderedPageBreak/>
        <w:t>identifying</w:t>
      </w:r>
      <w:r w:rsidR="0059262F">
        <w:rPr>
          <w:rFonts w:ascii="Times New Roman" w:hAnsi="Times New Roman" w:cs="Times New Roman"/>
          <w:sz w:val="24"/>
        </w:rPr>
        <w:t xml:space="preserve"> and </w:t>
      </w:r>
      <w:r w:rsidR="00A97B34">
        <w:rPr>
          <w:rFonts w:ascii="Times New Roman" w:hAnsi="Times New Roman" w:cs="Times New Roman"/>
          <w:sz w:val="24"/>
        </w:rPr>
        <w:t>addressing</w:t>
      </w:r>
      <w:r w:rsidR="0059262F">
        <w:rPr>
          <w:rFonts w:ascii="Times New Roman" w:hAnsi="Times New Roman" w:cs="Times New Roman"/>
          <w:sz w:val="24"/>
        </w:rPr>
        <w:t xml:space="preserve"> structural barriers, so</w:t>
      </w:r>
      <w:r w:rsidR="00DA3F1A">
        <w:rPr>
          <w:rFonts w:ascii="Times New Roman" w:hAnsi="Times New Roman" w:cs="Times New Roman"/>
          <w:sz w:val="24"/>
        </w:rPr>
        <w:t xml:space="preserve"> the current study aims to understand the role of structural barriers in</w:t>
      </w:r>
      <w:r w:rsidR="002D473E">
        <w:rPr>
          <w:rFonts w:ascii="Times New Roman" w:hAnsi="Times New Roman" w:cs="Times New Roman"/>
          <w:sz w:val="24"/>
        </w:rPr>
        <w:t xml:space="preserve"> the</w:t>
      </w:r>
      <w:r w:rsidR="00DA3F1A">
        <w:rPr>
          <w:rFonts w:ascii="Times New Roman" w:hAnsi="Times New Roman" w:cs="Times New Roman"/>
          <w:sz w:val="24"/>
        </w:rPr>
        <w:t xml:space="preserve"> relationship between access to advanced coursework and educational attainment. This approach allows to explore whether schools with similar resources show different attainment patterns and </w:t>
      </w:r>
      <w:r w:rsidR="00931199">
        <w:rPr>
          <w:rFonts w:ascii="Times New Roman" w:hAnsi="Times New Roman" w:cs="Times New Roman"/>
          <w:sz w:val="24"/>
        </w:rPr>
        <w:t xml:space="preserve">if structural barriers like percentage of economically disadvantaged </w:t>
      </w:r>
      <w:r w:rsidR="007E1FBB">
        <w:rPr>
          <w:rFonts w:ascii="Times New Roman" w:hAnsi="Times New Roman" w:cs="Times New Roman"/>
          <w:sz w:val="24"/>
        </w:rPr>
        <w:t xml:space="preserve">students </w:t>
      </w:r>
      <w:r w:rsidR="00931199">
        <w:rPr>
          <w:rFonts w:ascii="Times New Roman" w:hAnsi="Times New Roman" w:cs="Times New Roman"/>
          <w:sz w:val="24"/>
        </w:rPr>
        <w:t>could explain the differences.</w:t>
      </w:r>
      <w:r w:rsidR="002D473E">
        <w:rPr>
          <w:rFonts w:ascii="Times New Roman" w:hAnsi="Times New Roman" w:cs="Times New Roman"/>
          <w:sz w:val="24"/>
        </w:rPr>
        <w:t xml:space="preserve"> </w:t>
      </w:r>
      <w:r w:rsidR="00931199" w:rsidRPr="00931199">
        <w:rPr>
          <w:rFonts w:ascii="Times New Roman" w:hAnsi="Times New Roman" w:cs="Times New Roman"/>
          <w:sz w:val="24"/>
        </w:rPr>
        <w:t xml:space="preserve">Specifically, this study aims to address the following research questions: </w:t>
      </w:r>
    </w:p>
    <w:p w14:paraId="5C8641C1" w14:textId="77777777" w:rsidR="002D473E" w:rsidRDefault="00931199" w:rsidP="002D473E">
      <w:pPr>
        <w:pStyle w:val="ListParagraph"/>
        <w:numPr>
          <w:ilvl w:val="0"/>
          <w:numId w:val="2"/>
        </w:numPr>
        <w:spacing w:line="480" w:lineRule="auto"/>
        <w:jc w:val="left"/>
        <w:rPr>
          <w:rFonts w:ascii="Times New Roman" w:hAnsi="Times New Roman" w:cs="Times New Roman"/>
          <w:sz w:val="24"/>
        </w:rPr>
      </w:pPr>
      <w:r w:rsidRPr="002D473E">
        <w:rPr>
          <w:rFonts w:ascii="Times New Roman" w:hAnsi="Times New Roman" w:cs="Times New Roman"/>
          <w:sz w:val="24"/>
        </w:rPr>
        <w:t>To what extent do access to advanced coursework explain disparities in educational attainment?</w:t>
      </w:r>
    </w:p>
    <w:p w14:paraId="7D5D430E" w14:textId="353C4794" w:rsidR="00AF7465" w:rsidRPr="002D473E" w:rsidRDefault="00931199" w:rsidP="002D473E">
      <w:pPr>
        <w:pStyle w:val="ListParagraph"/>
        <w:numPr>
          <w:ilvl w:val="0"/>
          <w:numId w:val="2"/>
        </w:numPr>
        <w:spacing w:line="480" w:lineRule="auto"/>
        <w:jc w:val="left"/>
        <w:rPr>
          <w:rFonts w:ascii="Times New Roman" w:hAnsi="Times New Roman" w:cs="Times New Roman"/>
          <w:sz w:val="24"/>
        </w:rPr>
      </w:pPr>
      <w:r w:rsidRPr="002D473E">
        <w:rPr>
          <w:rFonts w:ascii="Times New Roman" w:hAnsi="Times New Roman" w:cs="Times New Roman"/>
          <w:sz w:val="24"/>
        </w:rPr>
        <w:t xml:space="preserve">To what extent do structural barriers play a role in the relationship between access to advanced coursework </w:t>
      </w:r>
      <w:r w:rsidR="007E1FBB">
        <w:rPr>
          <w:rFonts w:ascii="Times New Roman" w:hAnsi="Times New Roman" w:cs="Times New Roman"/>
          <w:sz w:val="24"/>
        </w:rPr>
        <w:t>and</w:t>
      </w:r>
      <w:r w:rsidRPr="002D473E">
        <w:rPr>
          <w:rFonts w:ascii="Times New Roman" w:hAnsi="Times New Roman" w:cs="Times New Roman"/>
          <w:sz w:val="24"/>
        </w:rPr>
        <w:t xml:space="preserve"> educational attainment?</w:t>
      </w:r>
    </w:p>
    <w:p w14:paraId="26FEC6F1" w14:textId="6108DD54" w:rsidR="00B87BE9" w:rsidRDefault="00902882" w:rsidP="001B728D">
      <w:pPr>
        <w:spacing w:line="480" w:lineRule="auto"/>
        <w:jc w:val="center"/>
        <w:rPr>
          <w:rFonts w:ascii="Times New Roman" w:hAnsi="Times New Roman" w:cs="Times New Roman"/>
          <w:b/>
          <w:bCs/>
          <w:sz w:val="24"/>
        </w:rPr>
      </w:pPr>
      <w:r>
        <w:rPr>
          <w:rFonts w:ascii="Times New Roman" w:hAnsi="Times New Roman" w:cs="Times New Roman"/>
          <w:b/>
          <w:bCs/>
          <w:sz w:val="24"/>
        </w:rPr>
        <w:t>Data</w:t>
      </w:r>
      <w:r w:rsidR="000B67F8">
        <w:rPr>
          <w:rFonts w:ascii="Times New Roman" w:hAnsi="Times New Roman" w:cs="Times New Roman"/>
          <w:b/>
          <w:bCs/>
          <w:sz w:val="24"/>
        </w:rPr>
        <w:t xml:space="preserve"> and </w:t>
      </w:r>
      <w:r w:rsidR="007A6780">
        <w:rPr>
          <w:rFonts w:ascii="Times New Roman" w:hAnsi="Times New Roman" w:cs="Times New Roman"/>
          <w:b/>
          <w:bCs/>
          <w:sz w:val="24"/>
        </w:rPr>
        <w:t>Method</w:t>
      </w:r>
      <w:r w:rsidR="000B67F8">
        <w:rPr>
          <w:rFonts w:ascii="Times New Roman" w:hAnsi="Times New Roman" w:cs="Times New Roman"/>
          <w:b/>
          <w:bCs/>
          <w:sz w:val="24"/>
        </w:rPr>
        <w:t>s</w:t>
      </w:r>
    </w:p>
    <w:p w14:paraId="1119347E" w14:textId="11429686" w:rsidR="000B67F8" w:rsidRPr="005C46F3" w:rsidRDefault="000B67F8" w:rsidP="001B728D">
      <w:pPr>
        <w:spacing w:line="480" w:lineRule="auto"/>
        <w:jc w:val="left"/>
        <w:rPr>
          <w:rFonts w:ascii="Times New Roman" w:hAnsi="Times New Roman" w:cs="Times New Roman"/>
          <w:b/>
          <w:bCs/>
          <w:sz w:val="24"/>
        </w:rPr>
      </w:pPr>
      <w:r>
        <w:rPr>
          <w:rFonts w:ascii="Times New Roman" w:hAnsi="Times New Roman" w:cs="Times New Roman"/>
          <w:b/>
          <w:bCs/>
          <w:sz w:val="24"/>
        </w:rPr>
        <w:t>Databases</w:t>
      </w:r>
    </w:p>
    <w:p w14:paraId="372BC3C2" w14:textId="4BEC95C0" w:rsidR="007A6780" w:rsidRDefault="007A6780" w:rsidP="001B728D">
      <w:pPr>
        <w:spacing w:line="480" w:lineRule="auto"/>
        <w:jc w:val="left"/>
        <w:rPr>
          <w:rFonts w:ascii="Times New Roman" w:hAnsi="Times New Roman" w:cs="Times New Roman"/>
          <w:sz w:val="24"/>
        </w:rPr>
      </w:pPr>
      <w:r>
        <w:rPr>
          <w:rFonts w:ascii="Times New Roman" w:hAnsi="Times New Roman" w:cs="Times New Roman"/>
          <w:sz w:val="24"/>
        </w:rPr>
        <w:tab/>
        <w:t xml:space="preserve">This </w:t>
      </w:r>
      <w:r w:rsidR="00902882">
        <w:rPr>
          <w:rFonts w:ascii="Times New Roman" w:hAnsi="Times New Roman" w:cs="Times New Roman"/>
          <w:sz w:val="24"/>
        </w:rPr>
        <w:t>study</w:t>
      </w:r>
      <w:r>
        <w:rPr>
          <w:rFonts w:ascii="Times New Roman" w:hAnsi="Times New Roman" w:cs="Times New Roman"/>
          <w:sz w:val="24"/>
        </w:rPr>
        <w:t xml:space="preserve"> utilized data from two publicly accessible databases: the Civil Rights Data Collection (CRDC) and the North Carolina Department of Public Instruction (NC DPI).</w:t>
      </w:r>
    </w:p>
    <w:p w14:paraId="7184F78A" w14:textId="1933ABCE" w:rsidR="007A6780" w:rsidRDefault="007A6780" w:rsidP="001B728D">
      <w:pPr>
        <w:spacing w:line="480" w:lineRule="auto"/>
        <w:jc w:val="left"/>
        <w:rPr>
          <w:rFonts w:ascii="Times New Roman" w:hAnsi="Times New Roman" w:cs="Times New Roman"/>
          <w:sz w:val="24"/>
        </w:rPr>
      </w:pPr>
      <w:r>
        <w:rPr>
          <w:rFonts w:ascii="Times New Roman" w:hAnsi="Times New Roman" w:cs="Times New Roman"/>
          <w:sz w:val="24"/>
        </w:rPr>
        <w:tab/>
        <w:t>The CRDC is managed by the U.S. Department of Education’s Office of Civil Rights. It collects extensive information from K-12 public schools and districts across the United States, with the primary purpose of monitoring and enforcing civil rights laws. Conducted biennially, the CRDC survey covers a broad range of topics, including student enrollment, educational programs and services, school climate and discipline, teaching and staff information, and early childhood education (</w:t>
      </w:r>
      <w:r w:rsidR="003330B0">
        <w:rPr>
          <w:rFonts w:ascii="Times New Roman" w:hAnsi="Times New Roman" w:cs="Times New Roman"/>
          <w:sz w:val="24"/>
        </w:rPr>
        <w:t>U.S. Department of Education,</w:t>
      </w:r>
      <w:r>
        <w:rPr>
          <w:rFonts w:ascii="Times New Roman" w:hAnsi="Times New Roman" w:cs="Times New Roman"/>
          <w:sz w:val="24"/>
        </w:rPr>
        <w:t xml:space="preserve"> n.d.). The most recent data for public use was collected for the 2020</w:t>
      </w:r>
      <w:r w:rsidR="00902882">
        <w:rPr>
          <w:rFonts w:ascii="Times New Roman" w:hAnsi="Times New Roman" w:cs="Times New Roman"/>
          <w:sz w:val="24"/>
        </w:rPr>
        <w:t>–</w:t>
      </w:r>
      <w:r>
        <w:rPr>
          <w:rFonts w:ascii="Times New Roman" w:hAnsi="Times New Roman" w:cs="Times New Roman"/>
          <w:sz w:val="24"/>
        </w:rPr>
        <w:t xml:space="preserve">2021 academic year, which is available as a downloadable zip file and contains three district-level datasets and 31 school-level datasets in CSV format. </w:t>
      </w:r>
    </w:p>
    <w:p w14:paraId="3DB7FC64" w14:textId="3E55AC47" w:rsidR="007A6780" w:rsidRDefault="007A6780" w:rsidP="001B728D">
      <w:pPr>
        <w:spacing w:line="480" w:lineRule="auto"/>
        <w:ind w:firstLine="720"/>
        <w:jc w:val="left"/>
        <w:rPr>
          <w:rFonts w:ascii="Times New Roman" w:hAnsi="Times New Roman" w:cs="Times New Roman"/>
          <w:sz w:val="24"/>
        </w:rPr>
      </w:pPr>
      <w:r>
        <w:rPr>
          <w:rFonts w:ascii="Times New Roman" w:hAnsi="Times New Roman" w:cs="Times New Roman"/>
          <w:sz w:val="24"/>
        </w:rPr>
        <w:t>The NC DPI hosts data for North Carolina School Report Cards</w:t>
      </w:r>
      <w:r w:rsidR="006462BB">
        <w:rPr>
          <w:rFonts w:ascii="Times New Roman" w:hAnsi="Times New Roman" w:cs="Times New Roman"/>
          <w:sz w:val="24"/>
        </w:rPr>
        <w:t xml:space="preserve"> (SCR)</w:t>
      </w:r>
      <w:r>
        <w:rPr>
          <w:rFonts w:ascii="Times New Roman" w:hAnsi="Times New Roman" w:cs="Times New Roman"/>
          <w:sz w:val="24"/>
        </w:rPr>
        <w:t xml:space="preserve">, which includes </w:t>
      </w:r>
      <w:r>
        <w:rPr>
          <w:rFonts w:ascii="Times New Roman" w:hAnsi="Times New Roman" w:cs="Times New Roman"/>
          <w:sz w:val="24"/>
        </w:rPr>
        <w:lastRenderedPageBreak/>
        <w:t>datasets on a variety of topics, such as school performance, attendance, test results, expenditures, and post-secondary outcomes</w:t>
      </w:r>
      <w:r w:rsidR="006462BB">
        <w:rPr>
          <w:rFonts w:ascii="Times New Roman" w:hAnsi="Times New Roman" w:cs="Times New Roman"/>
          <w:sz w:val="24"/>
        </w:rPr>
        <w:t xml:space="preserve"> (North Carolina Department of Public Instruction, n.d.)</w:t>
      </w:r>
      <w:r>
        <w:rPr>
          <w:rFonts w:ascii="Times New Roman" w:hAnsi="Times New Roman" w:cs="Times New Roman"/>
          <w:sz w:val="24"/>
        </w:rPr>
        <w:t>. Updated annually to support research purposes, these datasets can be downloaded as a zip file, with each excel file representing a specific data category and providing a longitudinal</w:t>
      </w:r>
      <w:r w:rsidR="00902882">
        <w:rPr>
          <w:rFonts w:ascii="Times New Roman" w:hAnsi="Times New Roman" w:cs="Times New Roman"/>
          <w:sz w:val="24"/>
        </w:rPr>
        <w:t xml:space="preserve"> record</w:t>
      </w:r>
      <w:r>
        <w:rPr>
          <w:rFonts w:ascii="Times New Roman" w:hAnsi="Times New Roman" w:cs="Times New Roman"/>
          <w:sz w:val="24"/>
        </w:rPr>
        <w:t>. As of the latest update, the data includes information through the 2022</w:t>
      </w:r>
      <w:r w:rsidR="00902882">
        <w:rPr>
          <w:rFonts w:ascii="Times New Roman" w:hAnsi="Times New Roman" w:cs="Times New Roman"/>
          <w:sz w:val="24"/>
        </w:rPr>
        <w:t>–</w:t>
      </w:r>
      <w:r>
        <w:rPr>
          <w:rFonts w:ascii="Times New Roman" w:hAnsi="Times New Roman" w:cs="Times New Roman"/>
          <w:sz w:val="24"/>
        </w:rPr>
        <w:t xml:space="preserve">2023 academic year. </w:t>
      </w:r>
    </w:p>
    <w:p w14:paraId="0C5088B3" w14:textId="77777777" w:rsidR="007A6780" w:rsidRDefault="007A6780" w:rsidP="001B728D">
      <w:pPr>
        <w:spacing w:line="480" w:lineRule="auto"/>
        <w:jc w:val="left"/>
        <w:rPr>
          <w:rFonts w:ascii="Times New Roman" w:hAnsi="Times New Roman" w:cs="Times New Roman"/>
          <w:b/>
          <w:bCs/>
          <w:sz w:val="24"/>
        </w:rPr>
      </w:pPr>
      <w:r w:rsidRPr="005B4B35">
        <w:rPr>
          <w:rFonts w:ascii="Times New Roman" w:hAnsi="Times New Roman" w:cs="Times New Roman"/>
          <w:b/>
          <w:bCs/>
          <w:sz w:val="24"/>
        </w:rPr>
        <w:t>Data</w:t>
      </w:r>
      <w:r>
        <w:rPr>
          <w:rFonts w:ascii="Times New Roman" w:hAnsi="Times New Roman" w:cs="Times New Roman"/>
          <w:b/>
          <w:bCs/>
          <w:sz w:val="24"/>
        </w:rPr>
        <w:t xml:space="preserve">set </w:t>
      </w:r>
      <w:r w:rsidRPr="005B4B35">
        <w:rPr>
          <w:rFonts w:ascii="Times New Roman" w:hAnsi="Times New Roman" w:cs="Times New Roman"/>
          <w:b/>
          <w:bCs/>
          <w:sz w:val="24"/>
        </w:rPr>
        <w:t xml:space="preserve">Construction </w:t>
      </w:r>
    </w:p>
    <w:p w14:paraId="58F36568" w14:textId="7EB30552" w:rsidR="007A6780" w:rsidRDefault="007A6780" w:rsidP="001B728D">
      <w:pPr>
        <w:spacing w:line="480" w:lineRule="auto"/>
        <w:jc w:val="left"/>
        <w:rPr>
          <w:rFonts w:ascii="Times New Roman" w:hAnsi="Times New Roman" w:cs="Times New Roman"/>
          <w:sz w:val="24"/>
        </w:rPr>
      </w:pPr>
      <w:r>
        <w:rPr>
          <w:rFonts w:ascii="Times New Roman" w:hAnsi="Times New Roman" w:cs="Times New Roman"/>
          <w:sz w:val="24"/>
        </w:rPr>
        <w:tab/>
        <w:t xml:space="preserve">To construct the dataset for </w:t>
      </w:r>
      <w:r w:rsidR="006462BB">
        <w:rPr>
          <w:rFonts w:ascii="Times New Roman" w:hAnsi="Times New Roman" w:cs="Times New Roman"/>
          <w:sz w:val="24"/>
        </w:rPr>
        <w:t xml:space="preserve">the current </w:t>
      </w:r>
      <w:r>
        <w:rPr>
          <w:rFonts w:ascii="Times New Roman" w:hAnsi="Times New Roman" w:cs="Times New Roman"/>
          <w:sz w:val="24"/>
        </w:rPr>
        <w:t xml:space="preserve">analysis, data was extracted and engineered from CRDC and NC DPI, resulting in a total of 31 features (see Table </w:t>
      </w:r>
      <w:r w:rsidR="000B67F8">
        <w:rPr>
          <w:rFonts w:ascii="Times New Roman" w:hAnsi="Times New Roman" w:cs="Times New Roman"/>
          <w:sz w:val="24"/>
        </w:rPr>
        <w:t>1</w:t>
      </w:r>
      <w:r>
        <w:rPr>
          <w:rFonts w:ascii="Times New Roman" w:hAnsi="Times New Roman" w:cs="Times New Roman"/>
          <w:sz w:val="24"/>
        </w:rPr>
        <w:t xml:space="preserve"> for descriptive statistics) for 239 schools. Among these features</w:t>
      </w:r>
      <w:r w:rsidR="00902882">
        <w:rPr>
          <w:rFonts w:ascii="Times New Roman" w:hAnsi="Times New Roman" w:cs="Times New Roman"/>
          <w:sz w:val="24"/>
        </w:rPr>
        <w:t xml:space="preserve"> are </w:t>
      </w:r>
      <w:r>
        <w:rPr>
          <w:rFonts w:ascii="Times New Roman" w:hAnsi="Times New Roman" w:cs="Times New Roman"/>
          <w:sz w:val="24"/>
        </w:rPr>
        <w:t xml:space="preserve">21 variables </w:t>
      </w:r>
      <w:r w:rsidR="00902882">
        <w:rPr>
          <w:rFonts w:ascii="Times New Roman" w:hAnsi="Times New Roman" w:cs="Times New Roman"/>
          <w:sz w:val="24"/>
        </w:rPr>
        <w:t xml:space="preserve">representing </w:t>
      </w:r>
      <w:r>
        <w:rPr>
          <w:rFonts w:ascii="Times New Roman" w:hAnsi="Times New Roman" w:cs="Times New Roman"/>
          <w:sz w:val="24"/>
        </w:rPr>
        <w:t xml:space="preserve">advanced coursework offered in NC public high schools, seven </w:t>
      </w:r>
      <w:r w:rsidR="00902882">
        <w:rPr>
          <w:rFonts w:ascii="Times New Roman" w:hAnsi="Times New Roman" w:cs="Times New Roman"/>
          <w:sz w:val="24"/>
        </w:rPr>
        <w:t>capturing</w:t>
      </w:r>
      <w:r>
        <w:rPr>
          <w:rFonts w:ascii="Times New Roman" w:hAnsi="Times New Roman" w:cs="Times New Roman"/>
          <w:sz w:val="24"/>
        </w:rPr>
        <w:t xml:space="preserve"> </w:t>
      </w:r>
      <w:r w:rsidR="00902882">
        <w:rPr>
          <w:rFonts w:ascii="Times New Roman" w:hAnsi="Times New Roman" w:cs="Times New Roman"/>
          <w:sz w:val="24"/>
        </w:rPr>
        <w:t xml:space="preserve">school-level </w:t>
      </w:r>
      <w:r>
        <w:rPr>
          <w:rFonts w:ascii="Times New Roman" w:hAnsi="Times New Roman" w:cs="Times New Roman"/>
          <w:sz w:val="24"/>
        </w:rPr>
        <w:t>postsecondary outcomes</w:t>
      </w:r>
      <w:r w:rsidR="00902882">
        <w:rPr>
          <w:rFonts w:ascii="Times New Roman" w:hAnsi="Times New Roman" w:cs="Times New Roman"/>
          <w:sz w:val="24"/>
        </w:rPr>
        <w:t xml:space="preserve">, </w:t>
      </w:r>
      <w:r>
        <w:rPr>
          <w:rFonts w:ascii="Times New Roman" w:hAnsi="Times New Roman" w:cs="Times New Roman"/>
          <w:sz w:val="24"/>
        </w:rPr>
        <w:t>two describing school type</w:t>
      </w:r>
      <w:r w:rsidR="00902882">
        <w:rPr>
          <w:rFonts w:ascii="Times New Roman" w:hAnsi="Times New Roman" w:cs="Times New Roman"/>
          <w:sz w:val="24"/>
        </w:rPr>
        <w:t xml:space="preserve"> as categorical variables</w:t>
      </w:r>
      <w:r>
        <w:rPr>
          <w:rFonts w:ascii="Times New Roman" w:hAnsi="Times New Roman" w:cs="Times New Roman"/>
          <w:sz w:val="24"/>
        </w:rPr>
        <w:t xml:space="preserve">, and one </w:t>
      </w:r>
      <w:r w:rsidR="00902882">
        <w:rPr>
          <w:rFonts w:ascii="Times New Roman" w:hAnsi="Times New Roman" w:cs="Times New Roman"/>
          <w:sz w:val="24"/>
        </w:rPr>
        <w:t>summarizing the</w:t>
      </w:r>
      <w:r>
        <w:rPr>
          <w:rFonts w:ascii="Times New Roman" w:hAnsi="Times New Roman" w:cs="Times New Roman"/>
          <w:sz w:val="24"/>
        </w:rPr>
        <w:t xml:space="preserve"> percentage of economically disadvantaged students. Specifically, the advanced coursework variables were derived from 12 CRDC datasets and organized into three main categories: course availability, course enrollment, and college-level course enrollment. An additional CRDC dataset provide</w:t>
      </w:r>
      <w:r w:rsidR="00902882">
        <w:rPr>
          <w:rFonts w:ascii="Times New Roman" w:hAnsi="Times New Roman" w:cs="Times New Roman"/>
          <w:sz w:val="24"/>
        </w:rPr>
        <w:t xml:space="preserve">d </w:t>
      </w:r>
      <w:r>
        <w:rPr>
          <w:rFonts w:ascii="Times New Roman" w:hAnsi="Times New Roman" w:cs="Times New Roman"/>
          <w:sz w:val="24"/>
        </w:rPr>
        <w:t xml:space="preserve">information on school characteristics, allowing the author to </w:t>
      </w:r>
      <w:r w:rsidR="00902882">
        <w:rPr>
          <w:rFonts w:ascii="Times New Roman" w:hAnsi="Times New Roman" w:cs="Times New Roman"/>
          <w:sz w:val="24"/>
        </w:rPr>
        <w:t>obtain indicators</w:t>
      </w:r>
      <w:r>
        <w:rPr>
          <w:rFonts w:ascii="Times New Roman" w:hAnsi="Times New Roman" w:cs="Times New Roman"/>
          <w:sz w:val="24"/>
        </w:rPr>
        <w:t xml:space="preserve"> for whether a school is a magnet school or a charter school. Furthermore, variables related to postsecondary outcomes were derived from four </w:t>
      </w:r>
      <w:r w:rsidR="006462BB">
        <w:rPr>
          <w:rFonts w:ascii="Times New Roman" w:hAnsi="Times New Roman" w:cs="Times New Roman"/>
          <w:sz w:val="24"/>
        </w:rPr>
        <w:t>SRC</w:t>
      </w:r>
      <w:r>
        <w:rPr>
          <w:rFonts w:ascii="Times New Roman" w:hAnsi="Times New Roman" w:cs="Times New Roman"/>
          <w:sz w:val="24"/>
        </w:rPr>
        <w:t xml:space="preserve"> dataset</w:t>
      </w:r>
      <w:r w:rsidR="006462BB">
        <w:rPr>
          <w:rFonts w:ascii="Times New Roman" w:hAnsi="Times New Roman" w:cs="Times New Roman"/>
          <w:sz w:val="24"/>
        </w:rPr>
        <w:t>s</w:t>
      </w:r>
      <w:r>
        <w:rPr>
          <w:rFonts w:ascii="Times New Roman" w:hAnsi="Times New Roman" w:cs="Times New Roman"/>
          <w:sz w:val="24"/>
        </w:rPr>
        <w:t xml:space="preserve">, and percentage of economically disadvantaged students was </w:t>
      </w:r>
      <w:r w:rsidR="00902882">
        <w:rPr>
          <w:rFonts w:ascii="Times New Roman" w:hAnsi="Times New Roman" w:cs="Times New Roman"/>
          <w:sz w:val="24"/>
        </w:rPr>
        <w:t>retrieved</w:t>
      </w:r>
      <w:r>
        <w:rPr>
          <w:rFonts w:ascii="Times New Roman" w:hAnsi="Times New Roman" w:cs="Times New Roman"/>
          <w:sz w:val="24"/>
        </w:rPr>
        <w:t xml:space="preserve"> from one other dataset. The </w:t>
      </w:r>
      <w:r w:rsidR="006462BB">
        <w:rPr>
          <w:rFonts w:ascii="Times New Roman" w:hAnsi="Times New Roman" w:cs="Times New Roman"/>
          <w:sz w:val="24"/>
        </w:rPr>
        <w:t>datafiles</w:t>
      </w:r>
      <w:r>
        <w:rPr>
          <w:rFonts w:ascii="Times New Roman" w:hAnsi="Times New Roman" w:cs="Times New Roman"/>
          <w:sz w:val="24"/>
        </w:rPr>
        <w:t xml:space="preserve"> used to construct the current dataset </w:t>
      </w:r>
      <w:r w:rsidR="008F4178">
        <w:rPr>
          <w:rFonts w:ascii="Times New Roman" w:hAnsi="Times New Roman" w:cs="Times New Roman"/>
          <w:sz w:val="24"/>
        </w:rPr>
        <w:t>were</w:t>
      </w:r>
      <w:r>
        <w:rPr>
          <w:rFonts w:ascii="Times New Roman" w:hAnsi="Times New Roman" w:cs="Times New Roman"/>
          <w:sz w:val="24"/>
        </w:rPr>
        <w:t xml:space="preserve"> listed in Table 2. </w:t>
      </w:r>
    </w:p>
    <w:p w14:paraId="0105EC6A" w14:textId="159E54CC" w:rsidR="007A6780" w:rsidRDefault="007A6780" w:rsidP="001B728D">
      <w:pPr>
        <w:spacing w:line="480" w:lineRule="auto"/>
        <w:jc w:val="left"/>
        <w:rPr>
          <w:rFonts w:ascii="Times New Roman" w:hAnsi="Times New Roman" w:cs="Times New Roman"/>
          <w:sz w:val="24"/>
        </w:rPr>
      </w:pPr>
      <w:r>
        <w:rPr>
          <w:rFonts w:ascii="Times New Roman" w:hAnsi="Times New Roman" w:cs="Times New Roman"/>
          <w:sz w:val="24"/>
        </w:rPr>
        <w:tab/>
      </w:r>
      <w:r w:rsidR="00902882">
        <w:rPr>
          <w:rFonts w:ascii="Times New Roman" w:hAnsi="Times New Roman" w:cs="Times New Roman"/>
          <w:sz w:val="24"/>
        </w:rPr>
        <w:t>Given</w:t>
      </w:r>
      <w:r>
        <w:rPr>
          <w:rFonts w:ascii="Times New Roman" w:hAnsi="Times New Roman" w:cs="Times New Roman"/>
          <w:sz w:val="24"/>
        </w:rPr>
        <w:t xml:space="preserve"> that data on advanced coursework </w:t>
      </w:r>
      <w:r w:rsidR="00902882">
        <w:rPr>
          <w:rFonts w:ascii="Times New Roman" w:hAnsi="Times New Roman" w:cs="Times New Roman"/>
          <w:sz w:val="24"/>
        </w:rPr>
        <w:t>is</w:t>
      </w:r>
      <w:r>
        <w:rPr>
          <w:rFonts w:ascii="Times New Roman" w:hAnsi="Times New Roman" w:cs="Times New Roman"/>
          <w:sz w:val="24"/>
        </w:rPr>
        <w:t xml:space="preserve"> from the 2020</w:t>
      </w:r>
      <w:r w:rsidR="00902882">
        <w:rPr>
          <w:rFonts w:ascii="Times New Roman" w:hAnsi="Times New Roman" w:cs="Times New Roman"/>
          <w:sz w:val="24"/>
        </w:rPr>
        <w:t>–</w:t>
      </w:r>
      <w:r>
        <w:rPr>
          <w:rFonts w:ascii="Times New Roman" w:hAnsi="Times New Roman" w:cs="Times New Roman"/>
          <w:sz w:val="24"/>
        </w:rPr>
        <w:t xml:space="preserve">2021 academic year and most high schoolers </w:t>
      </w:r>
      <w:r w:rsidR="00902882">
        <w:rPr>
          <w:rFonts w:ascii="Times New Roman" w:hAnsi="Times New Roman" w:cs="Times New Roman"/>
          <w:sz w:val="24"/>
        </w:rPr>
        <w:t>take</w:t>
      </w:r>
      <w:r>
        <w:rPr>
          <w:rFonts w:ascii="Times New Roman" w:hAnsi="Times New Roman" w:cs="Times New Roman"/>
          <w:sz w:val="24"/>
        </w:rPr>
        <w:t xml:space="preserve"> advanced and college-level courses in grades 11 and 12, the metrics for postsecondary outcomes were calculated as the average across the three possible graduation years</w:t>
      </w:r>
      <w:r w:rsidR="002D473E">
        <w:rPr>
          <w:rFonts w:ascii="Times New Roman" w:hAnsi="Times New Roman" w:cs="Times New Roman"/>
          <w:sz w:val="24"/>
        </w:rPr>
        <w:t>—</w:t>
      </w:r>
      <w:r>
        <w:rPr>
          <w:rFonts w:ascii="Times New Roman" w:hAnsi="Times New Roman" w:cs="Times New Roman"/>
          <w:sz w:val="24"/>
        </w:rPr>
        <w:t xml:space="preserve">2021, 2022, and 2023. Missing values were ignored in the calculation by using the </w:t>
      </w:r>
      <w:r w:rsidRPr="00880149">
        <w:rPr>
          <w:rFonts w:ascii="Courier New" w:hAnsi="Courier New" w:cs="Courier New"/>
          <w:sz w:val="24"/>
        </w:rPr>
        <w:lastRenderedPageBreak/>
        <w:t>na.rm</w:t>
      </w:r>
      <w:r>
        <w:rPr>
          <w:rFonts w:ascii="Times New Roman" w:hAnsi="Times New Roman" w:cs="Times New Roman"/>
          <w:sz w:val="24"/>
        </w:rPr>
        <w:t xml:space="preserve"> function in R, a common approach for calculating descriptive statistics like mean (</w:t>
      </w:r>
      <w:proofErr w:type="spellStart"/>
      <w:r w:rsidRPr="00221A1D">
        <w:rPr>
          <w:rFonts w:ascii="Times New Roman" w:hAnsi="Times New Roman" w:cs="Times New Roman"/>
          <w:sz w:val="24"/>
        </w:rPr>
        <w:t>GeeksforGeeks</w:t>
      </w:r>
      <w:proofErr w:type="spellEnd"/>
      <w:r>
        <w:rPr>
          <w:rFonts w:ascii="Times New Roman" w:hAnsi="Times New Roman" w:cs="Times New Roman"/>
          <w:sz w:val="24"/>
        </w:rPr>
        <w:t>, 2022).</w:t>
      </w:r>
    </w:p>
    <w:p w14:paraId="7D9F9989" w14:textId="7159FE0F" w:rsidR="007A6780" w:rsidRDefault="0061593E" w:rsidP="001B728D">
      <w:pPr>
        <w:spacing w:line="480" w:lineRule="auto"/>
        <w:ind w:firstLine="720"/>
        <w:jc w:val="left"/>
        <w:rPr>
          <w:rFonts w:ascii="Times New Roman" w:hAnsi="Times New Roman" w:cs="Times New Roman"/>
          <w:sz w:val="24"/>
        </w:rPr>
      </w:pPr>
      <w:r>
        <w:rPr>
          <w:rFonts w:ascii="Times New Roman" w:hAnsi="Times New Roman" w:cs="Times New Roman"/>
          <w:sz w:val="24"/>
        </w:rPr>
        <w:t>Unfortunately, t</w:t>
      </w:r>
      <w:r w:rsidRPr="0061593E">
        <w:rPr>
          <w:rFonts w:ascii="Times New Roman" w:hAnsi="Times New Roman" w:cs="Times New Roman"/>
          <w:sz w:val="24"/>
        </w:rPr>
        <w:t>he CRDC and NC DPI datasets do not share a common school identifier, as the CRDC uses National Center for Education Statistics (NCES) IDs while the NC DPI relies on state-specific internal IDs. To integrate variables from these two systems, school names were used as the primary matching criterion, with county names serving as a secondary identifier in cases where school names were not unique. Only schools that could be successfully matched using this approach were included in the final dataset</w:t>
      </w:r>
      <w:r w:rsidR="006462BB">
        <w:rPr>
          <w:rFonts w:ascii="Times New Roman" w:hAnsi="Times New Roman" w:cs="Times New Roman"/>
          <w:sz w:val="24"/>
        </w:rPr>
        <w:t xml:space="preserve">, which led to a sample size of 239. </w:t>
      </w:r>
    </w:p>
    <w:p w14:paraId="247BBF41" w14:textId="5A86848D" w:rsidR="0061593E" w:rsidRDefault="0061593E" w:rsidP="001B728D">
      <w:pPr>
        <w:spacing w:line="480" w:lineRule="auto"/>
        <w:ind w:firstLine="720"/>
        <w:jc w:val="left"/>
        <w:rPr>
          <w:rFonts w:ascii="Times New Roman" w:hAnsi="Times New Roman" w:cs="Times New Roman"/>
          <w:sz w:val="24"/>
        </w:rPr>
      </w:pPr>
      <w:r w:rsidRPr="0061593E">
        <w:rPr>
          <w:rFonts w:ascii="Times New Roman" w:hAnsi="Times New Roman" w:cs="Times New Roman"/>
          <w:sz w:val="24"/>
        </w:rPr>
        <w:t>This merging approach introduced an undesirable data quality issue regarding missing values. Since the two systems exhibit distinct patterns of missing values, the merge resulted in an unsystematic pattern where some schools were missing</w:t>
      </w:r>
      <w:r w:rsidR="002D473E">
        <w:rPr>
          <w:rFonts w:ascii="Times New Roman" w:hAnsi="Times New Roman" w:cs="Times New Roman"/>
          <w:sz w:val="24"/>
        </w:rPr>
        <w:t xml:space="preserve"> </w:t>
      </w:r>
      <w:r w:rsidR="00970C3F">
        <w:rPr>
          <w:rFonts w:ascii="Times New Roman" w:hAnsi="Times New Roman" w:cs="Times New Roman"/>
          <w:sz w:val="24"/>
        </w:rPr>
        <w:t>many</w:t>
      </w:r>
      <w:r w:rsidRPr="0061593E">
        <w:rPr>
          <w:rFonts w:ascii="Times New Roman" w:hAnsi="Times New Roman" w:cs="Times New Roman"/>
          <w:sz w:val="24"/>
        </w:rPr>
        <w:t xml:space="preserve"> advanced course variables, while others were missing most postsecondary outcome variables. Consequently, a decision was made to exclude all observations missing any postsecondary outcome variables, as these metrics are essential for </w:t>
      </w:r>
      <w:r w:rsidR="00970C3F">
        <w:rPr>
          <w:rFonts w:ascii="Times New Roman" w:hAnsi="Times New Roman" w:cs="Times New Roman"/>
          <w:sz w:val="24"/>
        </w:rPr>
        <w:t>answering</w:t>
      </w:r>
      <w:r w:rsidRPr="0061593E">
        <w:rPr>
          <w:rFonts w:ascii="Times New Roman" w:hAnsi="Times New Roman" w:cs="Times New Roman"/>
          <w:sz w:val="24"/>
        </w:rPr>
        <w:t xml:space="preserve"> the research questions. Other missing values were retained as </w:t>
      </w:r>
      <w:r w:rsidRPr="0061593E">
        <w:rPr>
          <w:rFonts w:ascii="Courier New" w:hAnsi="Courier New" w:cs="Courier New"/>
          <w:sz w:val="24"/>
        </w:rPr>
        <w:t>NA</w:t>
      </w:r>
      <w:r w:rsidRPr="0061593E">
        <w:rPr>
          <w:rFonts w:ascii="Times New Roman" w:hAnsi="Times New Roman" w:cs="Times New Roman"/>
          <w:sz w:val="24"/>
        </w:rPr>
        <w:t>, as most were due to inapplicability, which provides meaningful information about the availability of advanced coursework. For example, a missing value for the percentage of students enrolled in computer science at a school may indicate that the course is not offered.</w:t>
      </w:r>
    </w:p>
    <w:p w14:paraId="78C14754" w14:textId="6E145D8B" w:rsidR="00B87BE9" w:rsidRDefault="00B87BE9" w:rsidP="001B728D">
      <w:pPr>
        <w:spacing w:line="480" w:lineRule="auto"/>
        <w:jc w:val="left"/>
        <w:rPr>
          <w:rFonts w:ascii="Times New Roman" w:hAnsi="Times New Roman" w:cs="Times New Roman"/>
          <w:b/>
          <w:bCs/>
          <w:sz w:val="24"/>
        </w:rPr>
      </w:pPr>
      <w:r>
        <w:rPr>
          <w:rFonts w:ascii="Times New Roman" w:hAnsi="Times New Roman" w:cs="Times New Roman"/>
          <w:b/>
          <w:bCs/>
          <w:sz w:val="24"/>
        </w:rPr>
        <w:t>H</w:t>
      </w:r>
      <w:r w:rsidRPr="00B87BE9">
        <w:rPr>
          <w:rFonts w:ascii="Times New Roman" w:hAnsi="Times New Roman" w:cs="Times New Roman"/>
          <w:b/>
          <w:bCs/>
          <w:sz w:val="24"/>
        </w:rPr>
        <w:t xml:space="preserve">ierarchical </w:t>
      </w:r>
      <w:r>
        <w:rPr>
          <w:rFonts w:ascii="Times New Roman" w:hAnsi="Times New Roman" w:cs="Times New Roman"/>
          <w:b/>
          <w:bCs/>
          <w:sz w:val="24"/>
        </w:rPr>
        <w:t>C</w:t>
      </w:r>
      <w:r w:rsidRPr="00B87BE9">
        <w:rPr>
          <w:rFonts w:ascii="Times New Roman" w:hAnsi="Times New Roman" w:cs="Times New Roman"/>
          <w:b/>
          <w:bCs/>
          <w:sz w:val="24"/>
        </w:rPr>
        <w:t xml:space="preserve">luster </w:t>
      </w:r>
      <w:r>
        <w:rPr>
          <w:rFonts w:ascii="Times New Roman" w:hAnsi="Times New Roman" w:cs="Times New Roman"/>
          <w:b/>
          <w:bCs/>
          <w:sz w:val="24"/>
        </w:rPr>
        <w:t>A</w:t>
      </w:r>
      <w:r w:rsidRPr="00B87BE9">
        <w:rPr>
          <w:rFonts w:ascii="Times New Roman" w:hAnsi="Times New Roman" w:cs="Times New Roman"/>
          <w:b/>
          <w:bCs/>
          <w:sz w:val="24"/>
        </w:rPr>
        <w:t xml:space="preserve">nalysis </w:t>
      </w:r>
    </w:p>
    <w:p w14:paraId="12464C07" w14:textId="008AD794" w:rsidR="00B87BE9" w:rsidRDefault="00CF0A68" w:rsidP="001B728D">
      <w:pPr>
        <w:spacing w:line="480" w:lineRule="auto"/>
        <w:ind w:firstLine="720"/>
        <w:jc w:val="left"/>
        <w:rPr>
          <w:rFonts w:ascii="Times New Roman" w:hAnsi="Times New Roman" w:cs="Times New Roman"/>
          <w:sz w:val="24"/>
        </w:rPr>
      </w:pPr>
      <w:r w:rsidRPr="00CF0A68">
        <w:rPr>
          <w:rFonts w:ascii="Times New Roman" w:hAnsi="Times New Roman" w:cs="Times New Roman"/>
          <w:sz w:val="24"/>
        </w:rPr>
        <w:t xml:space="preserve">The primary analysis method employed in this </w:t>
      </w:r>
      <w:r w:rsidR="00970C3F">
        <w:rPr>
          <w:rFonts w:ascii="Times New Roman" w:hAnsi="Times New Roman" w:cs="Times New Roman"/>
          <w:sz w:val="24"/>
        </w:rPr>
        <w:t>research was</w:t>
      </w:r>
      <w:r w:rsidRPr="00CF0A68">
        <w:rPr>
          <w:rFonts w:ascii="Times New Roman" w:hAnsi="Times New Roman" w:cs="Times New Roman"/>
          <w:sz w:val="24"/>
        </w:rPr>
        <w:t xml:space="preserve"> hierarchical cluster analysis (HCA), a </w:t>
      </w:r>
      <w:r w:rsidR="00CC66AA">
        <w:rPr>
          <w:rFonts w:ascii="Times New Roman" w:hAnsi="Times New Roman" w:cs="Times New Roman"/>
          <w:sz w:val="24"/>
        </w:rPr>
        <w:t>data mining</w:t>
      </w:r>
      <w:r w:rsidRPr="00CF0A68">
        <w:rPr>
          <w:rFonts w:ascii="Times New Roman" w:hAnsi="Times New Roman" w:cs="Times New Roman"/>
          <w:sz w:val="24"/>
        </w:rPr>
        <w:t xml:space="preserve"> technique used to </w:t>
      </w:r>
      <w:r w:rsidR="00CC66AA">
        <w:rPr>
          <w:rFonts w:ascii="Times New Roman" w:hAnsi="Times New Roman" w:cs="Times New Roman"/>
          <w:sz w:val="24"/>
        </w:rPr>
        <w:t>group the observations</w:t>
      </w:r>
      <w:r w:rsidRPr="00CF0A68">
        <w:rPr>
          <w:rFonts w:ascii="Times New Roman" w:hAnsi="Times New Roman" w:cs="Times New Roman"/>
          <w:sz w:val="24"/>
        </w:rPr>
        <w:t xml:space="preserve"> based on their similarity across multiple variables, particularly in high-dimensional datasets (</w:t>
      </w:r>
      <w:proofErr w:type="spellStart"/>
      <w:r w:rsidRPr="00CF0A68">
        <w:rPr>
          <w:rFonts w:ascii="Times New Roman" w:hAnsi="Times New Roman" w:cs="Times New Roman"/>
          <w:sz w:val="24"/>
        </w:rPr>
        <w:t>Romesburg</w:t>
      </w:r>
      <w:proofErr w:type="spellEnd"/>
      <w:r w:rsidRPr="00CF0A68">
        <w:rPr>
          <w:rFonts w:ascii="Times New Roman" w:hAnsi="Times New Roman" w:cs="Times New Roman"/>
          <w:sz w:val="24"/>
        </w:rPr>
        <w:t>, 1984</w:t>
      </w:r>
      <w:r w:rsidR="00CC66AA">
        <w:rPr>
          <w:rFonts w:ascii="Times New Roman" w:hAnsi="Times New Roman" w:cs="Times New Roman"/>
          <w:sz w:val="24"/>
        </w:rPr>
        <w:t xml:space="preserve">; Jain et al., 1999; </w:t>
      </w:r>
      <w:proofErr w:type="spellStart"/>
      <w:r w:rsidR="00CC66AA">
        <w:rPr>
          <w:rFonts w:ascii="Times New Roman" w:hAnsi="Times New Roman" w:cs="Times New Roman"/>
          <w:sz w:val="24"/>
        </w:rPr>
        <w:t>Niktin</w:t>
      </w:r>
      <w:proofErr w:type="spellEnd"/>
      <w:r w:rsidR="00CC66AA">
        <w:rPr>
          <w:rFonts w:ascii="Times New Roman" w:hAnsi="Times New Roman" w:cs="Times New Roman"/>
          <w:sz w:val="24"/>
        </w:rPr>
        <w:t xml:space="preserve"> et al.,</w:t>
      </w:r>
      <w:r w:rsidR="00C6316B">
        <w:rPr>
          <w:rFonts w:ascii="Times New Roman" w:hAnsi="Times New Roman" w:cs="Times New Roman"/>
          <w:sz w:val="24"/>
        </w:rPr>
        <w:t xml:space="preserve"> 2022</w:t>
      </w:r>
      <w:r w:rsidRPr="00CF0A68">
        <w:rPr>
          <w:rFonts w:ascii="Times New Roman" w:hAnsi="Times New Roman" w:cs="Times New Roman"/>
          <w:sz w:val="24"/>
        </w:rPr>
        <w:t xml:space="preserve">). </w:t>
      </w:r>
      <w:r w:rsidR="00970C3F" w:rsidRPr="00970C3F">
        <w:rPr>
          <w:rFonts w:ascii="Times New Roman" w:hAnsi="Times New Roman" w:cs="Times New Roman"/>
          <w:sz w:val="24"/>
        </w:rPr>
        <w:t xml:space="preserve">Hierarchical clustering, as an unsupervised method, </w:t>
      </w:r>
      <w:r w:rsidR="00970C3F">
        <w:rPr>
          <w:rFonts w:ascii="Times New Roman" w:hAnsi="Times New Roman" w:cs="Times New Roman"/>
          <w:sz w:val="24"/>
        </w:rPr>
        <w:t>focuses on</w:t>
      </w:r>
      <w:r w:rsidR="00970C3F" w:rsidRPr="00970C3F">
        <w:rPr>
          <w:rFonts w:ascii="Times New Roman" w:hAnsi="Times New Roman" w:cs="Times New Roman"/>
          <w:sz w:val="24"/>
        </w:rPr>
        <w:t xml:space="preserve"> uncover</w:t>
      </w:r>
      <w:r w:rsidR="00970C3F">
        <w:rPr>
          <w:rFonts w:ascii="Times New Roman" w:hAnsi="Times New Roman" w:cs="Times New Roman"/>
          <w:sz w:val="24"/>
        </w:rPr>
        <w:t xml:space="preserve">ing </w:t>
      </w:r>
      <w:r w:rsidR="00970C3F" w:rsidRPr="00970C3F">
        <w:rPr>
          <w:rFonts w:ascii="Times New Roman" w:hAnsi="Times New Roman" w:cs="Times New Roman"/>
          <w:sz w:val="24"/>
        </w:rPr>
        <w:t xml:space="preserve">hidden patterns within unlabeled datasets rather than accurately predicting unseen samples from </w:t>
      </w:r>
      <w:r w:rsidR="00970C3F" w:rsidRPr="00970C3F">
        <w:rPr>
          <w:rFonts w:ascii="Times New Roman" w:hAnsi="Times New Roman" w:cs="Times New Roman"/>
          <w:sz w:val="24"/>
        </w:rPr>
        <w:lastRenderedPageBreak/>
        <w:t xml:space="preserve">the same probabilistic distribution </w:t>
      </w:r>
      <w:r w:rsidR="004C7E61" w:rsidRPr="004C7E61">
        <w:rPr>
          <w:rFonts w:ascii="Times New Roman" w:hAnsi="Times New Roman" w:cs="Times New Roman"/>
          <w:sz w:val="24"/>
        </w:rPr>
        <w:t>(</w:t>
      </w:r>
      <w:r w:rsidR="00081D9B">
        <w:rPr>
          <w:rFonts w:ascii="Times New Roman" w:hAnsi="Times New Roman" w:cs="Times New Roman"/>
          <w:sz w:val="24"/>
        </w:rPr>
        <w:t xml:space="preserve">Bowers, 2007; </w:t>
      </w:r>
      <w:r w:rsidR="004E4E03">
        <w:rPr>
          <w:rFonts w:ascii="Times New Roman" w:hAnsi="Times New Roman" w:cs="Times New Roman"/>
          <w:sz w:val="24"/>
        </w:rPr>
        <w:t>Jain et al., 1999;</w:t>
      </w:r>
      <w:r w:rsidR="00F557FC">
        <w:rPr>
          <w:rFonts w:ascii="Times New Roman" w:hAnsi="Times New Roman" w:cs="Times New Roman"/>
          <w:sz w:val="24"/>
        </w:rPr>
        <w:t xml:space="preserve"> </w:t>
      </w:r>
      <w:r w:rsidR="004C7E61" w:rsidRPr="004C7E61">
        <w:rPr>
          <w:rFonts w:ascii="Times New Roman" w:hAnsi="Times New Roman" w:cs="Times New Roman"/>
          <w:sz w:val="24"/>
        </w:rPr>
        <w:t>Xu &amp; Wunsch, 2005).</w:t>
      </w:r>
      <w:r w:rsidR="004C7E61">
        <w:rPr>
          <w:rFonts w:ascii="Times New Roman" w:hAnsi="Times New Roman" w:cs="Times New Roman"/>
          <w:sz w:val="24"/>
        </w:rPr>
        <w:t xml:space="preserve"> </w:t>
      </w:r>
      <w:r w:rsidR="004C7E61" w:rsidRPr="004C7E61">
        <w:rPr>
          <w:rFonts w:ascii="Times New Roman" w:hAnsi="Times New Roman" w:cs="Times New Roman"/>
          <w:sz w:val="24"/>
        </w:rPr>
        <w:t>The process begins by treating each data object as its own individual cluster</w:t>
      </w:r>
      <w:r w:rsidR="004C7E61">
        <w:rPr>
          <w:rFonts w:ascii="Times New Roman" w:hAnsi="Times New Roman" w:cs="Times New Roman"/>
          <w:sz w:val="24"/>
        </w:rPr>
        <w:t>, and c</w:t>
      </w:r>
      <w:r w:rsidR="004C7E61" w:rsidRPr="004C7E61">
        <w:rPr>
          <w:rFonts w:ascii="Times New Roman" w:hAnsi="Times New Roman" w:cs="Times New Roman"/>
          <w:sz w:val="24"/>
        </w:rPr>
        <w:t>lusters are then progressively merged based on their similarity until a hierarchical structure is formed (</w:t>
      </w:r>
      <w:r w:rsidR="004E4E03">
        <w:rPr>
          <w:rFonts w:ascii="Times New Roman" w:hAnsi="Times New Roman" w:cs="Times New Roman"/>
          <w:sz w:val="24"/>
        </w:rPr>
        <w:t xml:space="preserve">Jain et al., 1999; </w:t>
      </w:r>
      <w:r w:rsidR="004C7E61" w:rsidRPr="004C7E61">
        <w:rPr>
          <w:rFonts w:ascii="Times New Roman" w:hAnsi="Times New Roman" w:cs="Times New Roman"/>
          <w:sz w:val="24"/>
        </w:rPr>
        <w:t>Xu &amp; Wunsch, 2005).</w:t>
      </w:r>
      <w:r w:rsidR="004C7E61">
        <w:rPr>
          <w:rFonts w:ascii="Times New Roman" w:hAnsi="Times New Roman" w:cs="Times New Roman"/>
          <w:sz w:val="24"/>
        </w:rPr>
        <w:t xml:space="preserve"> As such, </w:t>
      </w:r>
      <w:r w:rsidR="00081D9B">
        <w:rPr>
          <w:rFonts w:ascii="Times New Roman" w:hAnsi="Times New Roman" w:cs="Times New Roman"/>
          <w:sz w:val="24"/>
        </w:rPr>
        <w:t>hierarchical clustering</w:t>
      </w:r>
      <w:r w:rsidR="00081D9B" w:rsidRPr="00081D9B">
        <w:rPr>
          <w:rFonts w:ascii="Times New Roman" w:hAnsi="Times New Roman" w:cs="Times New Roman"/>
          <w:sz w:val="24"/>
        </w:rPr>
        <w:t xml:space="preserve"> preserves the </w:t>
      </w:r>
      <w:r w:rsidR="00081D9B">
        <w:rPr>
          <w:rFonts w:ascii="Times New Roman" w:hAnsi="Times New Roman" w:cs="Times New Roman"/>
          <w:sz w:val="24"/>
        </w:rPr>
        <w:t>original data points and data structure</w:t>
      </w:r>
      <w:r w:rsidR="00081D9B" w:rsidRPr="00081D9B">
        <w:rPr>
          <w:rFonts w:ascii="Times New Roman" w:hAnsi="Times New Roman" w:cs="Times New Roman"/>
          <w:sz w:val="24"/>
        </w:rPr>
        <w:t xml:space="preserve"> instead of summarizing it by the mean or reporting broad trends</w:t>
      </w:r>
      <w:r w:rsidR="00081D9B">
        <w:rPr>
          <w:rFonts w:ascii="Times New Roman" w:hAnsi="Times New Roman" w:cs="Times New Roman"/>
          <w:sz w:val="24"/>
        </w:rPr>
        <w:t xml:space="preserve"> (Bowers, 2007</w:t>
      </w:r>
      <w:r w:rsidR="00F557FC">
        <w:rPr>
          <w:rFonts w:ascii="Times New Roman" w:hAnsi="Times New Roman" w:cs="Times New Roman"/>
          <w:sz w:val="24"/>
        </w:rPr>
        <w:t xml:space="preserve">, </w:t>
      </w:r>
      <w:r w:rsidR="00081D9B">
        <w:rPr>
          <w:rFonts w:ascii="Times New Roman" w:hAnsi="Times New Roman" w:cs="Times New Roman"/>
          <w:sz w:val="24"/>
        </w:rPr>
        <w:t>2010; Eisen et al., 1998)</w:t>
      </w:r>
      <w:r w:rsidR="00081D9B" w:rsidRPr="00081D9B">
        <w:rPr>
          <w:rFonts w:ascii="Times New Roman" w:hAnsi="Times New Roman" w:cs="Times New Roman"/>
          <w:sz w:val="24"/>
        </w:rPr>
        <w:t>.</w:t>
      </w:r>
      <w:r w:rsidR="004C7E61">
        <w:rPr>
          <w:rFonts w:ascii="Times New Roman" w:hAnsi="Times New Roman" w:cs="Times New Roman"/>
          <w:sz w:val="24"/>
        </w:rPr>
        <w:t xml:space="preserve"> </w:t>
      </w:r>
      <w:r w:rsidR="004C7E61" w:rsidRPr="004C7E61">
        <w:rPr>
          <w:rFonts w:ascii="Times New Roman" w:hAnsi="Times New Roman" w:cs="Times New Roman"/>
          <w:sz w:val="24"/>
        </w:rPr>
        <w:t xml:space="preserve">Compared to alternative unsupervised clustering techniques such as k-means, </w:t>
      </w:r>
      <w:r w:rsidR="00096654" w:rsidRPr="00096654">
        <w:rPr>
          <w:rFonts w:ascii="Times New Roman" w:hAnsi="Times New Roman" w:cs="Times New Roman"/>
          <w:sz w:val="24"/>
        </w:rPr>
        <w:t>HCA is advantageous because it does not require specifying the number of clusters in advance</w:t>
      </w:r>
      <w:r w:rsidR="00096654">
        <w:rPr>
          <w:rFonts w:ascii="Times New Roman" w:hAnsi="Times New Roman" w:cs="Times New Roman"/>
          <w:sz w:val="24"/>
        </w:rPr>
        <w:t xml:space="preserve"> and thus</w:t>
      </w:r>
      <w:r w:rsidR="00096654" w:rsidRPr="00096654">
        <w:rPr>
          <w:rFonts w:ascii="Times New Roman" w:hAnsi="Times New Roman" w:cs="Times New Roman"/>
          <w:sz w:val="24"/>
        </w:rPr>
        <w:t xml:space="preserve"> avoids the risk of arbitrary decisions that could compromise the accuracy of the results </w:t>
      </w:r>
      <w:r w:rsidR="00096654">
        <w:rPr>
          <w:rFonts w:ascii="Times New Roman" w:hAnsi="Times New Roman" w:cs="Times New Roman"/>
          <w:sz w:val="24"/>
        </w:rPr>
        <w:t>(</w:t>
      </w:r>
      <w:r w:rsidR="00096654" w:rsidRPr="00096654">
        <w:rPr>
          <w:rFonts w:ascii="Times New Roman" w:hAnsi="Times New Roman" w:cs="Times New Roman"/>
          <w:sz w:val="24"/>
        </w:rPr>
        <w:t>Eisen et al., 1998</w:t>
      </w:r>
      <w:r w:rsidR="00096654">
        <w:rPr>
          <w:rFonts w:ascii="Times New Roman" w:hAnsi="Times New Roman" w:cs="Times New Roman"/>
          <w:sz w:val="24"/>
        </w:rPr>
        <w:t xml:space="preserve">; </w:t>
      </w:r>
      <w:r w:rsidR="00096654" w:rsidRPr="00096654">
        <w:rPr>
          <w:rFonts w:ascii="Times New Roman" w:hAnsi="Times New Roman" w:cs="Times New Roman"/>
          <w:sz w:val="24"/>
        </w:rPr>
        <w:t xml:space="preserve">Jain et al., 1999; </w:t>
      </w:r>
      <w:proofErr w:type="spellStart"/>
      <w:r w:rsidR="00096654" w:rsidRPr="00096654">
        <w:rPr>
          <w:rFonts w:ascii="Times New Roman" w:hAnsi="Times New Roman" w:cs="Times New Roman"/>
          <w:sz w:val="24"/>
        </w:rPr>
        <w:t>Niktin</w:t>
      </w:r>
      <w:proofErr w:type="spellEnd"/>
      <w:r w:rsidR="00096654" w:rsidRPr="00096654">
        <w:rPr>
          <w:rFonts w:ascii="Times New Roman" w:hAnsi="Times New Roman" w:cs="Times New Roman"/>
          <w:sz w:val="24"/>
        </w:rPr>
        <w:t xml:space="preserve"> et al., 2022</w:t>
      </w:r>
      <w:r w:rsidR="00096654">
        <w:rPr>
          <w:rFonts w:ascii="Times New Roman" w:hAnsi="Times New Roman" w:cs="Times New Roman"/>
          <w:sz w:val="24"/>
        </w:rPr>
        <w:t>).</w:t>
      </w:r>
      <w:r w:rsidR="00D43AD6">
        <w:rPr>
          <w:rFonts w:ascii="Times New Roman" w:hAnsi="Times New Roman" w:cs="Times New Roman"/>
          <w:sz w:val="24"/>
        </w:rPr>
        <w:t xml:space="preserve"> </w:t>
      </w:r>
      <w:r w:rsidR="00B85E0B">
        <w:rPr>
          <w:rFonts w:ascii="Times New Roman" w:hAnsi="Times New Roman" w:cs="Times New Roman"/>
          <w:sz w:val="24"/>
        </w:rPr>
        <w:t xml:space="preserve">Therefore, the current study adopted HCA given the paucity of theoretical or empirical evidence to support the assumptions about the optimal number of clusters. </w:t>
      </w:r>
    </w:p>
    <w:p w14:paraId="115A814B" w14:textId="5CCB84B0" w:rsidR="0029278F" w:rsidRDefault="00B85E0B" w:rsidP="00970C3F">
      <w:pPr>
        <w:spacing w:line="480" w:lineRule="auto"/>
        <w:ind w:firstLine="720"/>
        <w:jc w:val="left"/>
        <w:rPr>
          <w:rFonts w:ascii="Times New Roman" w:hAnsi="Times New Roman" w:cs="Times New Roman"/>
          <w:sz w:val="24"/>
        </w:rPr>
      </w:pPr>
      <w:r w:rsidRPr="00B85E0B">
        <w:rPr>
          <w:rFonts w:ascii="Times New Roman" w:hAnsi="Times New Roman" w:cs="Times New Roman"/>
          <w:sz w:val="24"/>
        </w:rPr>
        <w:t xml:space="preserve">Before conducting HCA </w:t>
      </w:r>
      <w:r w:rsidR="00A97B34">
        <w:rPr>
          <w:rFonts w:ascii="Times New Roman" w:hAnsi="Times New Roman" w:cs="Times New Roman"/>
          <w:sz w:val="24"/>
        </w:rPr>
        <w:t>on</w:t>
      </w:r>
      <w:r w:rsidRPr="00B85E0B">
        <w:rPr>
          <w:rFonts w:ascii="Times New Roman" w:hAnsi="Times New Roman" w:cs="Times New Roman"/>
          <w:sz w:val="24"/>
        </w:rPr>
        <w:t xml:space="preserve"> the current dataset, all continuous variables were transformed to z-score</w:t>
      </w:r>
      <w:r w:rsidR="00970C3F">
        <w:rPr>
          <w:rFonts w:ascii="Times New Roman" w:hAnsi="Times New Roman" w:cs="Times New Roman"/>
          <w:sz w:val="24"/>
        </w:rPr>
        <w:t>s</w:t>
      </w:r>
      <w:r w:rsidRPr="00B85E0B">
        <w:rPr>
          <w:rFonts w:ascii="Times New Roman" w:hAnsi="Times New Roman" w:cs="Times New Roman"/>
          <w:sz w:val="24"/>
        </w:rPr>
        <w:t xml:space="preserve"> to standardize the data, ensuring that each variable contribute</w:t>
      </w:r>
      <w:r w:rsidR="002D473E">
        <w:rPr>
          <w:rFonts w:ascii="Times New Roman" w:hAnsi="Times New Roman" w:cs="Times New Roman"/>
          <w:sz w:val="24"/>
        </w:rPr>
        <w:t>d</w:t>
      </w:r>
      <w:r w:rsidRPr="00B85E0B">
        <w:rPr>
          <w:rFonts w:ascii="Times New Roman" w:hAnsi="Times New Roman" w:cs="Times New Roman"/>
          <w:sz w:val="24"/>
        </w:rPr>
        <w:t xml:space="preserve"> equally to the clustering process regardless of its original scale (</w:t>
      </w:r>
      <w:proofErr w:type="spellStart"/>
      <w:r w:rsidRPr="00B85E0B">
        <w:rPr>
          <w:rFonts w:ascii="Times New Roman" w:hAnsi="Times New Roman" w:cs="Times New Roman"/>
          <w:sz w:val="24"/>
        </w:rPr>
        <w:t>Romesburg</w:t>
      </w:r>
      <w:proofErr w:type="spellEnd"/>
      <w:r w:rsidRPr="00B85E0B">
        <w:rPr>
          <w:rFonts w:ascii="Times New Roman" w:hAnsi="Times New Roman" w:cs="Times New Roman"/>
          <w:sz w:val="24"/>
        </w:rPr>
        <w:t xml:space="preserve">, 1984, as cited in Bowers, 2010). </w:t>
      </w:r>
      <w:r w:rsidRPr="00D43AD6">
        <w:rPr>
          <w:rFonts w:ascii="Times New Roman" w:hAnsi="Times New Roman" w:cs="Times New Roman"/>
          <w:sz w:val="24"/>
        </w:rPr>
        <w:t>HCA requires two main metrics: a distance metric which measures the similarity or dissimilarity between observations, and an agglomeration method which determines how clusters are merged at each step of the analysis (Bowers, 2010).</w:t>
      </w:r>
      <w:r>
        <w:rPr>
          <w:rFonts w:ascii="Times New Roman" w:hAnsi="Times New Roman" w:cs="Times New Roman" w:hint="eastAsia"/>
          <w:sz w:val="24"/>
        </w:rPr>
        <w:t xml:space="preserve"> </w:t>
      </w:r>
      <w:r>
        <w:rPr>
          <w:rFonts w:ascii="Times New Roman" w:hAnsi="Times New Roman" w:cs="Times New Roman"/>
          <w:sz w:val="24"/>
        </w:rPr>
        <w:t>F</w:t>
      </w:r>
      <w:r>
        <w:rPr>
          <w:rFonts w:ascii="Times New Roman" w:hAnsi="Times New Roman" w:cs="Times New Roman" w:hint="eastAsia"/>
          <w:sz w:val="24"/>
        </w:rPr>
        <w:t>ollowing</w:t>
      </w:r>
      <w:r>
        <w:rPr>
          <w:rFonts w:ascii="Times New Roman" w:hAnsi="Times New Roman" w:cs="Times New Roman"/>
          <w:sz w:val="24"/>
        </w:rPr>
        <w:t xml:space="preserve"> the recommendations from previous literature in the field of education, this study used </w:t>
      </w:r>
      <w:r w:rsidRPr="00856886">
        <w:rPr>
          <w:rFonts w:ascii="Times New Roman" w:hAnsi="Times New Roman" w:cs="Times New Roman"/>
          <w:sz w:val="24"/>
        </w:rPr>
        <w:t>uncentered correlation as the distance metric and average linkage as the agglomeration metric</w:t>
      </w:r>
      <w:r>
        <w:rPr>
          <w:rFonts w:ascii="Times New Roman" w:hAnsi="Times New Roman" w:cs="Times New Roman"/>
          <w:sz w:val="24"/>
        </w:rPr>
        <w:t xml:space="preserve"> (</w:t>
      </w:r>
      <w:r w:rsidRPr="00856886">
        <w:rPr>
          <w:rFonts w:ascii="Times New Roman" w:hAnsi="Times New Roman" w:cs="Times New Roman"/>
          <w:sz w:val="24"/>
        </w:rPr>
        <w:t>Bowers, 2007, 2010</w:t>
      </w:r>
      <w:r>
        <w:rPr>
          <w:rFonts w:ascii="Times New Roman" w:hAnsi="Times New Roman" w:cs="Times New Roman"/>
          <w:sz w:val="24"/>
        </w:rPr>
        <w:t xml:space="preserve">). </w:t>
      </w:r>
    </w:p>
    <w:p w14:paraId="5219888C" w14:textId="77777777" w:rsidR="00970C3F" w:rsidRDefault="00B85E0B" w:rsidP="00970C3F">
      <w:pPr>
        <w:spacing w:line="480" w:lineRule="auto"/>
        <w:ind w:firstLine="720"/>
        <w:jc w:val="left"/>
        <w:rPr>
          <w:rFonts w:ascii="Times New Roman" w:hAnsi="Times New Roman" w:cs="Times New Roman"/>
          <w:sz w:val="24"/>
        </w:rPr>
      </w:pPr>
      <w:r w:rsidRPr="00856886">
        <w:rPr>
          <w:rFonts w:ascii="Times New Roman" w:hAnsi="Times New Roman" w:cs="Times New Roman"/>
          <w:sz w:val="24"/>
        </w:rPr>
        <w:t xml:space="preserve">Specifically, uncentered correlation assumes a mean of zero and differs from Pearson correlation by adjusting for patterns separated by a constant, thus is robust </w:t>
      </w:r>
      <w:r w:rsidR="002D473E">
        <w:rPr>
          <w:rFonts w:ascii="Times New Roman" w:hAnsi="Times New Roman" w:cs="Times New Roman"/>
          <w:sz w:val="24"/>
        </w:rPr>
        <w:t>for comparing</w:t>
      </w:r>
      <w:r w:rsidRPr="00856886">
        <w:rPr>
          <w:rFonts w:ascii="Times New Roman" w:hAnsi="Times New Roman" w:cs="Times New Roman"/>
          <w:sz w:val="24"/>
        </w:rPr>
        <w:t xml:space="preserve"> data trends that may be offset by a constant value </w:t>
      </w:r>
      <w:r w:rsidR="0029278F">
        <w:rPr>
          <w:rFonts w:ascii="Times New Roman" w:hAnsi="Times New Roman" w:cs="Times New Roman"/>
          <w:sz w:val="24"/>
        </w:rPr>
        <w:t>(</w:t>
      </w:r>
      <w:r w:rsidRPr="00856886">
        <w:rPr>
          <w:rFonts w:ascii="Times New Roman" w:hAnsi="Times New Roman" w:cs="Times New Roman"/>
          <w:sz w:val="24"/>
        </w:rPr>
        <w:t>Bowers, 2010)</w:t>
      </w:r>
      <w:r>
        <w:rPr>
          <w:rFonts w:ascii="Times New Roman" w:hAnsi="Times New Roman" w:cs="Times New Roman"/>
          <w:sz w:val="24"/>
        </w:rPr>
        <w:t xml:space="preserve">. Average </w:t>
      </w:r>
      <w:r w:rsidR="0029278F">
        <w:rPr>
          <w:rFonts w:ascii="Times New Roman" w:hAnsi="Times New Roman" w:cs="Times New Roman"/>
          <w:sz w:val="24"/>
        </w:rPr>
        <w:t xml:space="preserve">linkage was chosen for two primary reasons: First, it is </w:t>
      </w:r>
      <w:r w:rsidR="00D2258A">
        <w:rPr>
          <w:rFonts w:ascii="Times New Roman" w:hAnsi="Times New Roman" w:cs="Times New Roman"/>
          <w:sz w:val="24"/>
        </w:rPr>
        <w:t xml:space="preserve">robust to missing values which are commonly encountered in </w:t>
      </w:r>
      <w:r w:rsidR="00970C3F">
        <w:rPr>
          <w:rFonts w:ascii="Times New Roman" w:hAnsi="Times New Roman" w:cs="Times New Roman"/>
          <w:sz w:val="24"/>
        </w:rPr>
        <w:lastRenderedPageBreak/>
        <w:t>education</w:t>
      </w:r>
      <w:r w:rsidR="00D2258A">
        <w:rPr>
          <w:rFonts w:ascii="Times New Roman" w:hAnsi="Times New Roman" w:cs="Times New Roman"/>
          <w:sz w:val="24"/>
        </w:rPr>
        <w:t xml:space="preserve"> datasets</w:t>
      </w:r>
      <w:r w:rsidR="0090476A">
        <w:rPr>
          <w:rFonts w:ascii="Times New Roman" w:hAnsi="Times New Roman" w:cs="Times New Roman"/>
          <w:sz w:val="24"/>
        </w:rPr>
        <w:t xml:space="preserve">, as the </w:t>
      </w:r>
      <w:r w:rsidR="00A25BAC">
        <w:rPr>
          <w:rFonts w:ascii="Times New Roman" w:hAnsi="Times New Roman" w:cs="Times New Roman"/>
          <w:sz w:val="24"/>
        </w:rPr>
        <w:t xml:space="preserve">algorithm ensures that observations with similar missing patterns cluster together </w:t>
      </w:r>
      <w:r w:rsidR="002D473E">
        <w:rPr>
          <w:rFonts w:ascii="Times New Roman" w:hAnsi="Times New Roman" w:cs="Times New Roman"/>
          <w:sz w:val="24"/>
        </w:rPr>
        <w:t>because of similar</w:t>
      </w:r>
      <w:r w:rsidR="00A25BAC">
        <w:rPr>
          <w:rFonts w:ascii="Times New Roman" w:hAnsi="Times New Roman" w:cs="Times New Roman"/>
          <w:sz w:val="24"/>
        </w:rPr>
        <w:t xml:space="preserve"> computed distances</w:t>
      </w:r>
      <w:r w:rsidR="00A25BAC" w:rsidRPr="00A25BAC">
        <w:rPr>
          <w:rFonts w:ascii="Times New Roman" w:hAnsi="Times New Roman" w:cs="Times New Roman"/>
          <w:sz w:val="24"/>
        </w:rPr>
        <w:t xml:space="preserve"> </w:t>
      </w:r>
      <w:r w:rsidR="0090476A">
        <w:rPr>
          <w:rFonts w:ascii="Times New Roman" w:hAnsi="Times New Roman" w:cs="Times New Roman"/>
          <w:sz w:val="24"/>
        </w:rPr>
        <w:t>(</w:t>
      </w:r>
      <w:r w:rsidR="00D2258A">
        <w:rPr>
          <w:rFonts w:ascii="Times New Roman" w:hAnsi="Times New Roman" w:cs="Times New Roman"/>
          <w:sz w:val="24"/>
        </w:rPr>
        <w:t>Bowers, 2007, 2010)</w:t>
      </w:r>
      <w:r w:rsidR="00A25BAC">
        <w:rPr>
          <w:rFonts w:ascii="Times New Roman" w:hAnsi="Times New Roman" w:cs="Times New Roman"/>
          <w:sz w:val="24"/>
        </w:rPr>
        <w:t xml:space="preserve">. </w:t>
      </w:r>
      <w:r w:rsidR="00D2258A">
        <w:rPr>
          <w:rFonts w:ascii="Times New Roman" w:hAnsi="Times New Roman" w:cs="Times New Roman"/>
          <w:sz w:val="24"/>
        </w:rPr>
        <w:t>Second,</w:t>
      </w:r>
      <w:r w:rsidR="0029278F">
        <w:rPr>
          <w:rFonts w:ascii="Times New Roman" w:hAnsi="Times New Roman" w:cs="Times New Roman"/>
          <w:sz w:val="24"/>
        </w:rPr>
        <w:t xml:space="preserve"> average linkage, by calculating </w:t>
      </w:r>
      <w:r w:rsidR="0029278F" w:rsidRPr="0029278F">
        <w:rPr>
          <w:rFonts w:ascii="Times New Roman" w:hAnsi="Times New Roman" w:cs="Times New Roman"/>
          <w:sz w:val="24"/>
        </w:rPr>
        <w:t>the average distances between all pairs of observations</w:t>
      </w:r>
      <w:r w:rsidR="0029278F">
        <w:rPr>
          <w:rFonts w:ascii="Times New Roman" w:hAnsi="Times New Roman" w:cs="Times New Roman"/>
          <w:sz w:val="24"/>
        </w:rPr>
        <w:t xml:space="preserve">, ensures that clustering reflects the relationship between clusters based on the overall characteristics of each single school rather than being skewed by a few outliers or extreme comparisons (Bowers, 2010; </w:t>
      </w:r>
      <w:proofErr w:type="spellStart"/>
      <w:r w:rsidR="0029278F">
        <w:rPr>
          <w:rFonts w:ascii="Times New Roman" w:hAnsi="Times New Roman" w:cs="Times New Roman"/>
          <w:sz w:val="24"/>
        </w:rPr>
        <w:t>Niktin</w:t>
      </w:r>
      <w:proofErr w:type="spellEnd"/>
      <w:r w:rsidR="0029278F">
        <w:rPr>
          <w:rFonts w:ascii="Times New Roman" w:hAnsi="Times New Roman" w:cs="Times New Roman"/>
          <w:sz w:val="24"/>
        </w:rPr>
        <w:t xml:space="preserve"> et al., 2022). </w:t>
      </w:r>
    </w:p>
    <w:p w14:paraId="2779A955" w14:textId="676A5805" w:rsidR="00970C3F" w:rsidRDefault="00970C3F" w:rsidP="00970C3F">
      <w:pPr>
        <w:spacing w:line="480" w:lineRule="auto"/>
        <w:ind w:firstLine="720"/>
        <w:jc w:val="left"/>
        <w:rPr>
          <w:rFonts w:ascii="Times New Roman" w:hAnsi="Times New Roman" w:cs="Times New Roman"/>
          <w:sz w:val="24"/>
        </w:rPr>
      </w:pPr>
      <w:r>
        <w:rPr>
          <w:rFonts w:ascii="Times New Roman" w:hAnsi="Times New Roman" w:cs="Times New Roman"/>
          <w:sz w:val="24"/>
        </w:rPr>
        <w:t>The generalized form of equation for uncentered correlation is as follows (Bowers, 2010</w:t>
      </w:r>
      <w:r w:rsidR="001135EE">
        <w:rPr>
          <w:rFonts w:ascii="Times New Roman" w:hAnsi="Times New Roman" w:cs="Times New Roman"/>
          <w:sz w:val="24"/>
        </w:rPr>
        <w:t>, p.18</w:t>
      </w:r>
      <w:r>
        <w:rPr>
          <w:rFonts w:ascii="Times New Roman" w:hAnsi="Times New Roman" w:cs="Times New Roman"/>
          <w:sz w:val="24"/>
        </w:rPr>
        <w:t xml:space="preserve">): </w:t>
      </w:r>
    </w:p>
    <w:p w14:paraId="0161DA74" w14:textId="77777777" w:rsidR="00970C3F" w:rsidRDefault="00970C3F" w:rsidP="00970C3F">
      <w:pPr>
        <w:spacing w:line="480" w:lineRule="auto"/>
        <w:jc w:val="left"/>
        <w:rPr>
          <w:rFonts w:ascii="Times New Roman" w:hAnsi="Times New Roman" w:cs="Times New Roman"/>
          <w:sz w:val="24"/>
        </w:rPr>
      </w:pPr>
      <m:oMathPara>
        <m:oMath>
          <m:r>
            <w:rPr>
              <w:rFonts w:ascii="Cambria Math" w:hAnsi="Cambria Math" w:cs="Times New Roman"/>
              <w:sz w:val="24"/>
            </w:rPr>
            <m:t>r</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ctrlPr>
                <w:rPr>
                  <w:rFonts w:ascii="Cambria Math" w:hAnsi="Cambria Math" w:cs="Times New Roman"/>
                  <w:i/>
                  <w:sz w:val="24"/>
                </w:rPr>
              </m:ctrlPr>
            </m:num>
            <m:den>
              <m:r>
                <w:rPr>
                  <w:rFonts w:ascii="Cambria Math" w:hAnsi="Cambria Math" w:cs="Times New Roman"/>
                  <w:sz w:val="24"/>
                </w:rPr>
                <m:t>n</m:t>
              </m:r>
              <m:ctrlPr>
                <w:rPr>
                  <w:rFonts w:ascii="Cambria Math" w:hAnsi="Cambria Math" w:cs="Times New Roman"/>
                  <w:i/>
                  <w:sz w:val="24"/>
                </w:rPr>
              </m:ctrlPr>
            </m:den>
          </m:f>
          <m:nary>
            <m:naryPr>
              <m:chr m:val="∑"/>
              <m:ctrlPr>
                <w:rPr>
                  <w:rFonts w:ascii="Cambria Math" w:hAnsi="Cambria Math" w:cs="Times New Roman"/>
                  <w:sz w:val="24"/>
                </w:rPr>
              </m:ctrlPr>
            </m:naryPr>
            <m:sub>
              <m:r>
                <w:rPr>
                  <w:rFonts w:ascii="Cambria Math" w:hAnsi="Cambria Math" w:cs="Times New Roman"/>
                  <w:sz w:val="24"/>
                </w:rPr>
                <m:t>i=1</m:t>
              </m:r>
              <m:ctrlPr>
                <w:rPr>
                  <w:rFonts w:ascii="Cambria Math" w:hAnsi="Cambria Math" w:cs="Times New Roman"/>
                  <w:i/>
                  <w:sz w:val="24"/>
                </w:rPr>
              </m:ctrlPr>
            </m:sub>
            <m:sup>
              <m:r>
                <w:rPr>
                  <w:rFonts w:ascii="Cambria Math" w:hAnsi="Cambria Math" w:cs="Times New Roman"/>
                  <w:sz w:val="24"/>
                </w:rPr>
                <m:t>n</m:t>
              </m:r>
              <m:ctrlPr>
                <w:rPr>
                  <w:rFonts w:ascii="Cambria Math" w:hAnsi="Cambria Math" w:cs="Times New Roman"/>
                  <w:i/>
                  <w:sz w:val="24"/>
                </w:rPr>
              </m:ctrlPr>
            </m:sup>
            <m:e>
              <m:d>
                <m:dPr>
                  <m:ctrlPr>
                    <w:rPr>
                      <w:rFonts w:ascii="Cambria Math" w:hAnsi="Cambria Math" w:cs="Times New Roman"/>
                      <w:sz w:val="24"/>
                    </w:rPr>
                  </m:ctrlPr>
                </m:dPr>
                <m:e>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ctrlPr>
                        <w:rPr>
                          <w:rFonts w:ascii="Cambria Math" w:hAnsi="Cambria Math" w:cs="Times New Roman"/>
                          <w:i/>
                          <w:sz w:val="24"/>
                        </w:rPr>
                      </m:ctrlPr>
                    </m:num>
                    <m:den>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x</m:t>
                          </m:r>
                        </m:sub>
                        <m:sup>
                          <m:d>
                            <m:dPr>
                              <m:ctrlPr>
                                <w:rPr>
                                  <w:rFonts w:ascii="Cambria Math" w:hAnsi="Cambria Math" w:cs="Times New Roman"/>
                                  <w:i/>
                                  <w:sz w:val="24"/>
                                </w:rPr>
                              </m:ctrlPr>
                            </m:dPr>
                            <m:e>
                              <m:r>
                                <w:rPr>
                                  <w:rFonts w:ascii="Cambria Math" w:hAnsi="Cambria Math" w:cs="Times New Roman"/>
                                  <w:sz w:val="24"/>
                                </w:rPr>
                                <m:t>0</m:t>
                              </m:r>
                            </m:e>
                          </m:d>
                        </m:sup>
                      </m:sSubSup>
                      <m:ctrlPr>
                        <w:rPr>
                          <w:rFonts w:ascii="Cambria Math" w:hAnsi="Cambria Math" w:cs="Times New Roman"/>
                          <w:i/>
                          <w:sz w:val="24"/>
                        </w:rPr>
                      </m:ctrlPr>
                    </m:den>
                  </m:f>
                  <m:ctrlPr>
                    <w:rPr>
                      <w:rFonts w:ascii="Cambria Math" w:hAnsi="Cambria Math" w:cs="Times New Roman"/>
                      <w:i/>
                      <w:sz w:val="24"/>
                    </w:rPr>
                  </m:ctrlPr>
                </m:e>
              </m:d>
              <m:d>
                <m:dPr>
                  <m:ctrlPr>
                    <w:rPr>
                      <w:rFonts w:ascii="Cambria Math" w:hAnsi="Cambria Math" w:cs="Times New Roman"/>
                      <w:sz w:val="24"/>
                    </w:rPr>
                  </m:ctrlPr>
                </m:dPr>
                <m:e>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ctrlPr>
                        <w:rPr>
                          <w:rFonts w:ascii="Cambria Math" w:hAnsi="Cambria Math" w:cs="Times New Roman"/>
                          <w:i/>
                          <w:sz w:val="24"/>
                        </w:rPr>
                      </m:ctrlPr>
                    </m:num>
                    <m:den>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y</m:t>
                          </m:r>
                        </m:sub>
                        <m:sup>
                          <m:d>
                            <m:dPr>
                              <m:ctrlPr>
                                <w:rPr>
                                  <w:rFonts w:ascii="Cambria Math" w:hAnsi="Cambria Math" w:cs="Times New Roman"/>
                                  <w:i/>
                                  <w:sz w:val="24"/>
                                </w:rPr>
                              </m:ctrlPr>
                            </m:dPr>
                            <m:e>
                              <m:r>
                                <w:rPr>
                                  <w:rFonts w:ascii="Cambria Math" w:hAnsi="Cambria Math" w:cs="Times New Roman"/>
                                  <w:sz w:val="24"/>
                                </w:rPr>
                                <m:t>0</m:t>
                              </m:r>
                            </m:e>
                          </m:d>
                        </m:sup>
                      </m:sSubSup>
                      <m:ctrlPr>
                        <w:rPr>
                          <w:rFonts w:ascii="Cambria Math" w:hAnsi="Cambria Math" w:cs="Times New Roman"/>
                          <w:i/>
                          <w:sz w:val="24"/>
                        </w:rPr>
                      </m:ctrlPr>
                    </m:den>
                  </m:f>
                  <m:ctrlPr>
                    <w:rPr>
                      <w:rFonts w:ascii="Cambria Math" w:hAnsi="Cambria Math" w:cs="Times New Roman"/>
                      <w:i/>
                      <w:sz w:val="24"/>
                    </w:rPr>
                  </m:ctrlPr>
                </m:e>
              </m:d>
              <m:ctrlPr>
                <w:rPr>
                  <w:rFonts w:ascii="Cambria Math" w:hAnsi="Cambria Math" w:cs="Times New Roman"/>
                  <w:i/>
                  <w:sz w:val="24"/>
                </w:rPr>
              </m:ctrlPr>
            </m:e>
          </m:nary>
        </m:oMath>
      </m:oMathPara>
    </w:p>
    <w:p w14:paraId="22064CF0" w14:textId="77777777" w:rsidR="00970C3F" w:rsidRDefault="00970C3F" w:rsidP="00970C3F">
      <w:pPr>
        <w:spacing w:line="480" w:lineRule="auto"/>
        <w:jc w:val="left"/>
        <w:rPr>
          <w:rFonts w:ascii="Times New Roman" w:hAnsi="Times New Roman" w:cs="Times New Roman"/>
          <w:sz w:val="24"/>
        </w:rPr>
      </w:pPr>
      <w:r>
        <w:rPr>
          <w:rFonts w:ascii="Times New Roman" w:hAnsi="Times New Roman" w:cs="Times New Roman"/>
          <w:sz w:val="24"/>
        </w:rPr>
        <w:t xml:space="preserve">in which </w:t>
      </w:r>
    </w:p>
    <w:p w14:paraId="66C260E3" w14:textId="77777777" w:rsidR="00970C3F" w:rsidRPr="00587BC0" w:rsidRDefault="00000000" w:rsidP="00970C3F">
      <w:pPr>
        <w:spacing w:line="480" w:lineRule="auto"/>
        <w:jc w:val="left"/>
        <w:rPr>
          <w:rFonts w:ascii="Times New Roman" w:hAnsi="Times New Roman" w:cs="Times New Roman"/>
          <w:sz w:val="24"/>
        </w:rPr>
      </w:pPr>
      <m:oMathPara>
        <m:oMath>
          <m:sSubSup>
            <m:sSubSupPr>
              <m:ctrlPr>
                <w:rPr>
                  <w:rFonts w:ascii="Cambria Math" w:hAnsi="Cambria Math" w:cs="Times New Roman"/>
                  <w:i/>
                  <w:sz w:val="24"/>
                </w:rPr>
              </m:ctrlPr>
            </m:sSubSupPr>
            <m:e>
              <m:r>
                <m:rPr>
                  <m:sty m:val="p"/>
                </m:rPr>
                <w:rPr>
                  <w:rFonts w:ascii="Cambria Math" w:hAnsi="Cambria Math" w:cs="Times New Roman"/>
                  <w:sz w:val="24"/>
                </w:rPr>
                <m:t>σ</m:t>
              </m:r>
              <m:ctrlPr>
                <w:rPr>
                  <w:rFonts w:ascii="Cambria Math" w:hAnsi="Cambria Math" w:cs="Times New Roman"/>
                  <w:sz w:val="24"/>
                </w:rPr>
              </m:ctrlPr>
            </m:e>
            <m:sub>
              <m:r>
                <w:rPr>
                  <w:rFonts w:ascii="Cambria Math" w:hAnsi="Cambria Math" w:cs="Times New Roman"/>
                  <w:sz w:val="24"/>
                </w:rPr>
                <m:t>x</m:t>
              </m:r>
            </m:sub>
            <m:sup>
              <m:d>
                <m:dPr>
                  <m:ctrlPr>
                    <w:rPr>
                      <w:rFonts w:ascii="Cambria Math" w:hAnsi="Cambria Math" w:cs="Times New Roman"/>
                      <w:i/>
                      <w:sz w:val="24"/>
                    </w:rPr>
                  </m:ctrlPr>
                </m:dPr>
                <m:e>
                  <m:r>
                    <w:rPr>
                      <w:rFonts w:ascii="Cambria Math" w:hAnsi="Cambria Math" w:cs="Times New Roman"/>
                      <w:sz w:val="24"/>
                    </w:rPr>
                    <m:t>0</m:t>
                  </m:r>
                </m:e>
              </m:d>
            </m:sup>
          </m:sSubSup>
          <m:r>
            <w:rPr>
              <w:rFonts w:ascii="Cambria Math" w:hAnsi="Cambria Math" w:cs="Times New Roman"/>
              <w:sz w:val="24"/>
            </w:rPr>
            <m:t>=</m:t>
          </m:r>
          <m:rad>
            <m:radPr>
              <m:degHide m:val="1"/>
              <m:ctrlPr>
                <w:rPr>
                  <w:rFonts w:ascii="Cambria Math" w:hAnsi="Cambria Math" w:cs="Times New Roman"/>
                  <w:sz w:val="24"/>
                </w:rPr>
              </m:ctrlPr>
            </m:radPr>
            <m:deg>
              <m:ctrlPr>
                <w:rPr>
                  <w:rFonts w:ascii="Cambria Math" w:hAnsi="Cambria Math" w:cs="Times New Roman"/>
                  <w:i/>
                  <w:sz w:val="24"/>
                </w:rPr>
              </m:ctrlPr>
            </m:deg>
            <m:e>
              <m:f>
                <m:fPr>
                  <m:ctrlPr>
                    <w:rPr>
                      <w:rFonts w:ascii="Cambria Math" w:hAnsi="Cambria Math" w:cs="Times New Roman"/>
                      <w:sz w:val="24"/>
                    </w:rPr>
                  </m:ctrlPr>
                </m:fPr>
                <m:num>
                  <m:r>
                    <w:rPr>
                      <w:rFonts w:ascii="Cambria Math" w:hAnsi="Cambria Math" w:cs="Times New Roman"/>
                      <w:sz w:val="24"/>
                    </w:rPr>
                    <m:t>1</m:t>
                  </m:r>
                  <m:ctrlPr>
                    <w:rPr>
                      <w:rFonts w:ascii="Cambria Math" w:hAnsi="Cambria Math" w:cs="Times New Roman"/>
                      <w:i/>
                      <w:sz w:val="24"/>
                    </w:rPr>
                  </m:ctrlPr>
                </m:num>
                <m:den>
                  <m:r>
                    <w:rPr>
                      <w:rFonts w:ascii="Cambria Math" w:hAnsi="Cambria Math" w:cs="Times New Roman"/>
                      <w:sz w:val="24"/>
                    </w:rPr>
                    <m:t>n</m:t>
                  </m:r>
                  <m:ctrlPr>
                    <w:rPr>
                      <w:rFonts w:ascii="Cambria Math" w:hAnsi="Cambria Math" w:cs="Times New Roman"/>
                      <w:i/>
                      <w:sz w:val="24"/>
                    </w:rPr>
                  </m:ctrlPr>
                </m:den>
              </m:f>
              <m:nary>
                <m:naryPr>
                  <m:chr m:val="∑"/>
                  <m:ctrlPr>
                    <w:rPr>
                      <w:rFonts w:ascii="Cambria Math" w:hAnsi="Cambria Math" w:cs="Times New Roman"/>
                      <w:sz w:val="24"/>
                    </w:rPr>
                  </m:ctrlPr>
                </m:naryPr>
                <m:sub>
                  <m:r>
                    <w:rPr>
                      <w:rFonts w:ascii="Cambria Math" w:hAnsi="Cambria Math" w:cs="Times New Roman"/>
                      <w:sz w:val="24"/>
                    </w:rPr>
                    <m:t>i=1</m:t>
                  </m:r>
                  <m:ctrlPr>
                    <w:rPr>
                      <w:rFonts w:ascii="Cambria Math" w:hAnsi="Cambria Math" w:cs="Times New Roman"/>
                      <w:i/>
                      <w:sz w:val="24"/>
                    </w:rPr>
                  </m:ctrlPr>
                </m:sub>
                <m:sup>
                  <m:r>
                    <w:rPr>
                      <w:rFonts w:ascii="Cambria Math" w:hAnsi="Cambria Math" w:cs="Times New Roman"/>
                      <w:sz w:val="24"/>
                    </w:rPr>
                    <m:t>n</m:t>
                  </m:r>
                  <m:ctrlPr>
                    <w:rPr>
                      <w:rFonts w:ascii="Cambria Math" w:hAnsi="Cambria Math" w:cs="Times New Roman"/>
                      <w:i/>
                      <w:sz w:val="24"/>
                    </w:rPr>
                  </m:ctrlPr>
                </m:sup>
                <m:e>
                  <m:sSup>
                    <m:sSupPr>
                      <m:ctrlPr>
                        <w:rPr>
                          <w:rFonts w:ascii="Cambria Math" w:hAnsi="Cambria Math" w:cs="Times New Roman"/>
                          <w:i/>
                          <w:sz w:val="24"/>
                        </w:rPr>
                      </m:ctrlPr>
                    </m:sSupPr>
                    <m:e>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ctrlPr>
                            <w:rPr>
                              <w:rFonts w:ascii="Cambria Math" w:hAnsi="Cambria Math" w:cs="Times New Roman"/>
                              <w:i/>
                              <w:sz w:val="24"/>
                            </w:rPr>
                          </m:ctrlPr>
                        </m:e>
                      </m:d>
                    </m:e>
                    <m:sup>
                      <m:r>
                        <w:rPr>
                          <w:rFonts w:ascii="Cambria Math" w:hAnsi="Cambria Math" w:cs="Times New Roman"/>
                          <w:sz w:val="24"/>
                        </w:rPr>
                        <m:t>2</m:t>
                      </m:r>
                    </m:sup>
                  </m:sSup>
                  <m:ctrlPr>
                    <w:rPr>
                      <w:rFonts w:ascii="Cambria Math" w:hAnsi="Cambria Math" w:cs="Times New Roman"/>
                      <w:i/>
                      <w:sz w:val="24"/>
                    </w:rPr>
                  </m:ctrlPr>
                </m:e>
              </m:nary>
            </m:e>
          </m:rad>
        </m:oMath>
      </m:oMathPara>
    </w:p>
    <w:p w14:paraId="4A0BD7AB" w14:textId="77777777" w:rsidR="00970C3F" w:rsidRDefault="00970C3F" w:rsidP="00970C3F">
      <w:pPr>
        <w:spacing w:line="480" w:lineRule="auto"/>
        <w:jc w:val="left"/>
        <w:rPr>
          <w:rFonts w:ascii="Times New Roman" w:hAnsi="Times New Roman" w:cs="Times New Roman"/>
          <w:sz w:val="24"/>
        </w:rPr>
      </w:pPr>
      <w:r>
        <w:rPr>
          <w:rFonts w:ascii="Times New Roman" w:hAnsi="Times New Roman" w:cs="Times New Roman"/>
          <w:sz w:val="24"/>
        </w:rPr>
        <w:t xml:space="preserve">and </w:t>
      </w:r>
    </w:p>
    <w:p w14:paraId="435D8C45" w14:textId="77777777" w:rsidR="00970C3F" w:rsidRDefault="00000000" w:rsidP="00970C3F">
      <w:pPr>
        <w:spacing w:line="480" w:lineRule="auto"/>
        <w:jc w:val="left"/>
        <w:rPr>
          <w:rFonts w:ascii="Times New Roman" w:hAnsi="Times New Roman" w:cs="Times New Roman"/>
          <w:sz w:val="24"/>
        </w:rPr>
      </w:pPr>
      <m:oMathPara>
        <m:oMath>
          <m:sSubSup>
            <m:sSubSupPr>
              <m:ctrlPr>
                <w:rPr>
                  <w:rFonts w:ascii="Cambria Math" w:hAnsi="Cambria Math" w:cs="Times New Roman"/>
                  <w:i/>
                  <w:sz w:val="24"/>
                </w:rPr>
              </m:ctrlPr>
            </m:sSubSupPr>
            <m:e>
              <m:r>
                <m:rPr>
                  <m:sty m:val="p"/>
                </m:rPr>
                <w:rPr>
                  <w:rFonts w:ascii="Cambria Math" w:hAnsi="Cambria Math" w:cs="Times New Roman"/>
                  <w:sz w:val="24"/>
                </w:rPr>
                <m:t>σ</m:t>
              </m:r>
              <m:ctrlPr>
                <w:rPr>
                  <w:rFonts w:ascii="Cambria Math" w:hAnsi="Cambria Math" w:cs="Times New Roman"/>
                  <w:sz w:val="24"/>
                </w:rPr>
              </m:ctrlPr>
            </m:e>
            <m:sub>
              <m:r>
                <w:rPr>
                  <w:rFonts w:ascii="Cambria Math" w:hAnsi="Cambria Math" w:cs="Times New Roman"/>
                  <w:sz w:val="24"/>
                </w:rPr>
                <m:t>y</m:t>
              </m:r>
            </m:sub>
            <m:sup>
              <m:d>
                <m:dPr>
                  <m:ctrlPr>
                    <w:rPr>
                      <w:rFonts w:ascii="Cambria Math" w:hAnsi="Cambria Math" w:cs="Times New Roman"/>
                      <w:i/>
                      <w:sz w:val="24"/>
                    </w:rPr>
                  </m:ctrlPr>
                </m:dPr>
                <m:e>
                  <m:r>
                    <w:rPr>
                      <w:rFonts w:ascii="Cambria Math" w:hAnsi="Cambria Math" w:cs="Times New Roman"/>
                      <w:sz w:val="24"/>
                    </w:rPr>
                    <m:t>0</m:t>
                  </m:r>
                </m:e>
              </m:d>
            </m:sup>
          </m:sSubSup>
          <m:r>
            <w:rPr>
              <w:rFonts w:ascii="Cambria Math" w:hAnsi="Cambria Math" w:cs="Times New Roman"/>
              <w:sz w:val="24"/>
            </w:rPr>
            <m:t>=</m:t>
          </m:r>
          <m:rad>
            <m:radPr>
              <m:degHide m:val="1"/>
              <m:ctrlPr>
                <w:rPr>
                  <w:rFonts w:ascii="Cambria Math" w:hAnsi="Cambria Math" w:cs="Times New Roman"/>
                  <w:sz w:val="24"/>
                </w:rPr>
              </m:ctrlPr>
            </m:radPr>
            <m:deg>
              <m:ctrlPr>
                <w:rPr>
                  <w:rFonts w:ascii="Cambria Math" w:hAnsi="Cambria Math" w:cs="Times New Roman"/>
                  <w:i/>
                  <w:sz w:val="24"/>
                </w:rPr>
              </m:ctrlPr>
            </m:deg>
            <m:e>
              <m:f>
                <m:fPr>
                  <m:ctrlPr>
                    <w:rPr>
                      <w:rFonts w:ascii="Cambria Math" w:hAnsi="Cambria Math" w:cs="Times New Roman"/>
                      <w:sz w:val="24"/>
                    </w:rPr>
                  </m:ctrlPr>
                </m:fPr>
                <m:num>
                  <m:r>
                    <w:rPr>
                      <w:rFonts w:ascii="Cambria Math" w:hAnsi="Cambria Math" w:cs="Times New Roman"/>
                      <w:sz w:val="24"/>
                    </w:rPr>
                    <m:t>1</m:t>
                  </m:r>
                  <m:ctrlPr>
                    <w:rPr>
                      <w:rFonts w:ascii="Cambria Math" w:hAnsi="Cambria Math" w:cs="Times New Roman"/>
                      <w:i/>
                      <w:sz w:val="24"/>
                    </w:rPr>
                  </m:ctrlPr>
                </m:num>
                <m:den>
                  <m:r>
                    <w:rPr>
                      <w:rFonts w:ascii="Cambria Math" w:hAnsi="Cambria Math" w:cs="Times New Roman"/>
                      <w:sz w:val="24"/>
                    </w:rPr>
                    <m:t>n</m:t>
                  </m:r>
                  <m:ctrlPr>
                    <w:rPr>
                      <w:rFonts w:ascii="Cambria Math" w:hAnsi="Cambria Math" w:cs="Times New Roman"/>
                      <w:i/>
                      <w:sz w:val="24"/>
                    </w:rPr>
                  </m:ctrlPr>
                </m:den>
              </m:f>
              <m:nary>
                <m:naryPr>
                  <m:chr m:val="∑"/>
                  <m:ctrlPr>
                    <w:rPr>
                      <w:rFonts w:ascii="Cambria Math" w:hAnsi="Cambria Math" w:cs="Times New Roman"/>
                      <w:sz w:val="24"/>
                    </w:rPr>
                  </m:ctrlPr>
                </m:naryPr>
                <m:sub>
                  <m:r>
                    <w:rPr>
                      <w:rFonts w:ascii="Cambria Math" w:hAnsi="Cambria Math" w:cs="Times New Roman"/>
                      <w:sz w:val="24"/>
                    </w:rPr>
                    <m:t>i=1</m:t>
                  </m:r>
                  <m:ctrlPr>
                    <w:rPr>
                      <w:rFonts w:ascii="Cambria Math" w:hAnsi="Cambria Math" w:cs="Times New Roman"/>
                      <w:i/>
                      <w:sz w:val="24"/>
                    </w:rPr>
                  </m:ctrlPr>
                </m:sub>
                <m:sup>
                  <m:r>
                    <w:rPr>
                      <w:rFonts w:ascii="Cambria Math" w:hAnsi="Cambria Math" w:cs="Times New Roman"/>
                      <w:sz w:val="24"/>
                    </w:rPr>
                    <m:t>n</m:t>
                  </m:r>
                  <m:ctrlPr>
                    <w:rPr>
                      <w:rFonts w:ascii="Cambria Math" w:hAnsi="Cambria Math" w:cs="Times New Roman"/>
                      <w:i/>
                      <w:sz w:val="24"/>
                    </w:rPr>
                  </m:ctrlPr>
                </m:sup>
                <m:e>
                  <m:sSup>
                    <m:sSupPr>
                      <m:ctrlPr>
                        <w:rPr>
                          <w:rFonts w:ascii="Cambria Math" w:hAnsi="Cambria Math" w:cs="Times New Roman"/>
                          <w:i/>
                          <w:sz w:val="24"/>
                        </w:rPr>
                      </m:ctrlPr>
                    </m:sSupPr>
                    <m:e>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ctrlPr>
                            <w:rPr>
                              <w:rFonts w:ascii="Cambria Math" w:hAnsi="Cambria Math" w:cs="Times New Roman"/>
                              <w:i/>
                              <w:sz w:val="24"/>
                            </w:rPr>
                          </m:ctrlPr>
                        </m:e>
                      </m:d>
                    </m:e>
                    <m:sup>
                      <m:r>
                        <w:rPr>
                          <w:rFonts w:ascii="Cambria Math" w:hAnsi="Cambria Math" w:cs="Times New Roman"/>
                          <w:sz w:val="24"/>
                        </w:rPr>
                        <m:t>2</m:t>
                      </m:r>
                    </m:sup>
                  </m:sSup>
                  <m:ctrlPr>
                    <w:rPr>
                      <w:rFonts w:ascii="Cambria Math" w:hAnsi="Cambria Math" w:cs="Times New Roman"/>
                      <w:i/>
                      <w:sz w:val="24"/>
                    </w:rPr>
                  </m:ctrlPr>
                </m:e>
              </m:nary>
            </m:e>
          </m:rad>
        </m:oMath>
      </m:oMathPara>
    </w:p>
    <w:p w14:paraId="76DB020A" w14:textId="188711F5" w:rsidR="00970C3F" w:rsidRDefault="00970C3F" w:rsidP="00970C3F">
      <w:pPr>
        <w:spacing w:line="480" w:lineRule="auto"/>
        <w:jc w:val="left"/>
        <w:rPr>
          <w:rFonts w:ascii="Times New Roman" w:hAnsi="Times New Roman" w:cs="Times New Roman"/>
          <w:sz w:val="24"/>
        </w:rPr>
      </w:pPr>
      <w:r>
        <w:rPr>
          <w:rFonts w:ascii="Times New Roman" w:hAnsi="Times New Roman" w:cs="Times New Roman"/>
          <w:sz w:val="24"/>
        </w:rPr>
        <w:t>The average linkage metric can be calculated using the equation below (Bowers, 2010</w:t>
      </w:r>
      <w:r w:rsidR="001135EE">
        <w:rPr>
          <w:rFonts w:ascii="Times New Roman" w:hAnsi="Times New Roman" w:cs="Times New Roman"/>
          <w:sz w:val="24"/>
        </w:rPr>
        <w:t>, p.18</w:t>
      </w:r>
      <w:r>
        <w:rPr>
          <w:rFonts w:ascii="Times New Roman" w:hAnsi="Times New Roman" w:cs="Times New Roman"/>
          <w:sz w:val="24"/>
        </w:rPr>
        <w:t>):</w:t>
      </w:r>
    </w:p>
    <w:p w14:paraId="61656B24" w14:textId="2CE71552" w:rsidR="00587BC0" w:rsidRDefault="00970C3F" w:rsidP="00970C3F">
      <w:pPr>
        <w:spacing w:line="480" w:lineRule="auto"/>
        <w:jc w:val="left"/>
        <w:rPr>
          <w:rFonts w:ascii="Times New Roman" w:hAnsi="Times New Roman" w:cs="Times New Roman"/>
          <w:sz w:val="24"/>
        </w:rPr>
      </w:pPr>
      <m:oMathPara>
        <m:oMath>
          <m:r>
            <w:rPr>
              <w:rFonts w:ascii="Cambria Math" w:hAnsi="Cambria Math" w:cs="Times New Roman"/>
              <w:sz w:val="24"/>
            </w:rPr>
            <m:t>D</m:t>
          </m:r>
          <m:d>
            <m:dPr>
              <m:ctrlPr>
                <w:rPr>
                  <w:rFonts w:ascii="Cambria Math" w:hAnsi="Cambria Math" w:cs="Times New Roman"/>
                  <w:i/>
                  <w:sz w:val="24"/>
                </w:rPr>
              </m:ctrlPr>
            </m:dPr>
            <m:e>
              <m:r>
                <w:rPr>
                  <w:rFonts w:ascii="Cambria Math" w:hAnsi="Cambria Math" w:cs="Times New Roman"/>
                  <w:sz w:val="24"/>
                </w:rPr>
                <m:t>A,B</m:t>
              </m:r>
            </m:e>
          </m:d>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ctrlPr>
                <w:rPr>
                  <w:rFonts w:ascii="Cambria Math" w:hAnsi="Cambria Math" w:cs="Times New Roman"/>
                  <w:i/>
                  <w:sz w:val="24"/>
                </w:rPr>
              </m:ctrlPr>
            </m:num>
            <m:den>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m:t>
                  </m:r>
                </m:sub>
              </m:sSub>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B</m:t>
                  </m:r>
                </m:sub>
              </m:sSub>
              <m:ctrlPr>
                <w:rPr>
                  <w:rFonts w:ascii="Cambria Math" w:hAnsi="Cambria Math" w:cs="Times New Roman"/>
                  <w:i/>
                  <w:sz w:val="24"/>
                </w:rPr>
              </m:ctrlPr>
            </m:den>
          </m:f>
          <m:nary>
            <m:naryPr>
              <m:chr m:val="∑"/>
              <m:ctrlPr>
                <w:rPr>
                  <w:rFonts w:ascii="Cambria Math" w:hAnsi="Cambria Math" w:cs="Times New Roman"/>
                  <w:sz w:val="24"/>
                </w:rPr>
              </m:ctrlPr>
            </m:naryPr>
            <m:sub>
              <m:r>
                <w:rPr>
                  <w:rFonts w:ascii="Cambria Math" w:hAnsi="Cambria Math" w:cs="Times New Roman"/>
                  <w:sz w:val="24"/>
                </w:rPr>
                <m:t>i=1</m:t>
              </m:r>
              <m:ctrlPr>
                <w:rPr>
                  <w:rFonts w:ascii="Cambria Math" w:hAnsi="Cambria Math" w:cs="Times New Roman"/>
                  <w:i/>
                  <w:sz w:val="24"/>
                </w:rPr>
              </m:ctrlPr>
            </m:sub>
            <m:sup>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m:t>
                  </m:r>
                </m:sub>
              </m:sSub>
              <m:ctrlPr>
                <w:rPr>
                  <w:rFonts w:ascii="Cambria Math" w:hAnsi="Cambria Math" w:cs="Times New Roman"/>
                  <w:i/>
                  <w:sz w:val="24"/>
                </w:rPr>
              </m:ctrlPr>
            </m:sup>
            <m:e>
              <m:nary>
                <m:naryPr>
                  <m:chr m:val="∑"/>
                  <m:ctrlPr>
                    <w:rPr>
                      <w:rFonts w:ascii="Cambria Math" w:hAnsi="Cambria Math" w:cs="Times New Roman"/>
                      <w:sz w:val="24"/>
                    </w:rPr>
                  </m:ctrlPr>
                </m:naryPr>
                <m:sub>
                  <m:r>
                    <w:rPr>
                      <w:rFonts w:ascii="Cambria Math" w:hAnsi="Cambria Math" w:cs="Times New Roman"/>
                      <w:sz w:val="24"/>
                    </w:rPr>
                    <m:t>j=1</m:t>
                  </m:r>
                  <m:ctrlPr>
                    <w:rPr>
                      <w:rFonts w:ascii="Cambria Math" w:hAnsi="Cambria Math" w:cs="Times New Roman"/>
                      <w:i/>
                      <w:sz w:val="24"/>
                    </w:rPr>
                  </m:ctrlPr>
                </m:sub>
                <m:sup>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B</m:t>
                      </m:r>
                    </m:sub>
                  </m:sSub>
                  <m:ctrlPr>
                    <w:rPr>
                      <w:rFonts w:ascii="Cambria Math" w:hAnsi="Cambria Math" w:cs="Times New Roman"/>
                      <w:i/>
                      <w:sz w:val="24"/>
                    </w:rPr>
                  </m:ctrlPr>
                </m:sup>
                <m:e>
                  <m:r>
                    <w:rPr>
                      <w:rFonts w:ascii="Cambria Math" w:hAnsi="Cambria Math" w:cs="Times New Roman"/>
                      <w:sz w:val="24"/>
                    </w:rPr>
                    <m:t>r</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j</m:t>
                          </m:r>
                        </m:sub>
                      </m:sSub>
                    </m:e>
                  </m:d>
                  <m:ctrlPr>
                    <w:rPr>
                      <w:rFonts w:ascii="Cambria Math" w:hAnsi="Cambria Math" w:cs="Times New Roman"/>
                      <w:i/>
                      <w:sz w:val="24"/>
                    </w:rPr>
                  </m:ctrlPr>
                </m:e>
              </m:nary>
              <m:ctrlPr>
                <w:rPr>
                  <w:rFonts w:ascii="Cambria Math" w:hAnsi="Cambria Math" w:cs="Times New Roman"/>
                  <w:i/>
                  <w:sz w:val="24"/>
                </w:rPr>
              </m:ctrlPr>
            </m:e>
          </m:nary>
        </m:oMath>
      </m:oMathPara>
    </w:p>
    <w:p w14:paraId="4CCBA3CA" w14:textId="02B03850" w:rsidR="0023503B" w:rsidRDefault="00587BC0" w:rsidP="001B728D">
      <w:pPr>
        <w:spacing w:line="480" w:lineRule="auto"/>
        <w:jc w:val="left"/>
        <w:rPr>
          <w:rFonts w:ascii="Times New Roman" w:hAnsi="Times New Roman" w:cs="Times New Roman"/>
          <w:b/>
          <w:bCs/>
          <w:sz w:val="24"/>
        </w:rPr>
      </w:pPr>
      <w:r w:rsidRPr="00587BC0">
        <w:rPr>
          <w:rFonts w:ascii="Times New Roman" w:hAnsi="Times New Roman" w:cs="Times New Roman"/>
          <w:b/>
          <w:bCs/>
          <w:sz w:val="24"/>
        </w:rPr>
        <w:t>HCA Heatmap</w:t>
      </w:r>
      <w:r w:rsidR="0093056D">
        <w:rPr>
          <w:rFonts w:ascii="Times New Roman" w:hAnsi="Times New Roman" w:cs="Times New Roman"/>
          <w:b/>
          <w:bCs/>
          <w:sz w:val="24"/>
        </w:rPr>
        <w:t>s</w:t>
      </w:r>
      <w:r w:rsidR="0023503B">
        <w:rPr>
          <w:rFonts w:ascii="Times New Roman" w:hAnsi="Times New Roman" w:cs="Times New Roman"/>
          <w:b/>
          <w:bCs/>
          <w:sz w:val="24"/>
        </w:rPr>
        <w:t xml:space="preserve"> (</w:t>
      </w:r>
      <w:proofErr w:type="spellStart"/>
      <w:r w:rsidR="0023503B">
        <w:rPr>
          <w:rFonts w:ascii="Times New Roman" w:hAnsi="Times New Roman" w:cs="Times New Roman"/>
          <w:b/>
          <w:bCs/>
          <w:sz w:val="24"/>
        </w:rPr>
        <w:t>Clustergrams</w:t>
      </w:r>
      <w:proofErr w:type="spellEnd"/>
      <w:r w:rsidR="0023503B">
        <w:rPr>
          <w:rFonts w:ascii="Times New Roman" w:hAnsi="Times New Roman" w:cs="Times New Roman"/>
          <w:b/>
          <w:bCs/>
          <w:sz w:val="24"/>
        </w:rPr>
        <w:t>)</w:t>
      </w:r>
    </w:p>
    <w:p w14:paraId="55F4CF18" w14:textId="349D277D" w:rsidR="00702B2C" w:rsidRDefault="00702B2C" w:rsidP="001B728D">
      <w:pPr>
        <w:spacing w:line="480" w:lineRule="auto"/>
        <w:ind w:firstLine="720"/>
        <w:jc w:val="left"/>
        <w:rPr>
          <w:rFonts w:ascii="Times New Roman" w:hAnsi="Times New Roman" w:cs="Times New Roman"/>
          <w:sz w:val="24"/>
        </w:rPr>
      </w:pPr>
      <w:r w:rsidRPr="00702B2C">
        <w:rPr>
          <w:rFonts w:ascii="Times New Roman" w:hAnsi="Times New Roman" w:cs="Times New Roman"/>
          <w:sz w:val="24"/>
        </w:rPr>
        <w:t xml:space="preserve">Hierarchical clustering results can be visualized using a dendrogram, where horizontal lines represent cluster merging, shorter lines indicate higher similarity, and </w:t>
      </w:r>
      <w:r w:rsidR="00043D09">
        <w:rPr>
          <w:rFonts w:ascii="Times New Roman" w:hAnsi="Times New Roman" w:cs="Times New Roman"/>
          <w:sz w:val="24"/>
        </w:rPr>
        <w:t xml:space="preserve">the </w:t>
      </w:r>
      <w:r w:rsidR="00043D09" w:rsidRPr="00702B2C">
        <w:rPr>
          <w:rFonts w:ascii="Times New Roman" w:hAnsi="Times New Roman" w:cs="Times New Roman"/>
          <w:sz w:val="24"/>
        </w:rPr>
        <w:t>dendrogram</w:t>
      </w:r>
      <w:r w:rsidR="00043D09">
        <w:rPr>
          <w:rFonts w:ascii="Times New Roman" w:hAnsi="Times New Roman" w:cs="Times New Roman"/>
          <w:sz w:val="24"/>
        </w:rPr>
        <w:t xml:space="preserve"> </w:t>
      </w:r>
      <w:r w:rsidRPr="00702B2C">
        <w:rPr>
          <w:rFonts w:ascii="Times New Roman" w:hAnsi="Times New Roman" w:cs="Times New Roman"/>
          <w:sz w:val="24"/>
        </w:rPr>
        <w:lastRenderedPageBreak/>
        <w:t xml:space="preserve">grows hierarchically until all data points form a single cluster (Bowers, 2010). </w:t>
      </w:r>
      <w:r w:rsidR="00910054" w:rsidRPr="00910054">
        <w:rPr>
          <w:rFonts w:ascii="Times New Roman" w:hAnsi="Times New Roman" w:cs="Times New Roman"/>
          <w:sz w:val="24"/>
        </w:rPr>
        <w:t xml:space="preserve">Combined with heatmaps, which represent each observation’s values across variables as color blocks, a </w:t>
      </w:r>
      <w:proofErr w:type="spellStart"/>
      <w:r w:rsidR="00910054" w:rsidRPr="00910054">
        <w:rPr>
          <w:rFonts w:ascii="Times New Roman" w:hAnsi="Times New Roman" w:cs="Times New Roman"/>
          <w:sz w:val="24"/>
        </w:rPr>
        <w:t>clustergram</w:t>
      </w:r>
      <w:proofErr w:type="spellEnd"/>
      <w:r w:rsidR="00910054" w:rsidRPr="00910054">
        <w:rPr>
          <w:rFonts w:ascii="Times New Roman" w:hAnsi="Times New Roman" w:cs="Times New Roman"/>
          <w:sz w:val="24"/>
        </w:rPr>
        <w:t xml:space="preserve"> was derived, enabling intuitive pattern recognition through two contrasting colors: one representing positive values and the other negative, with greater intensity in either color indicating larger absolute values (Bowers, 2010; Eisen et al., 1998; Lee et al., 2016).</w:t>
      </w:r>
      <w:r w:rsidR="00910054">
        <w:rPr>
          <w:rFonts w:ascii="Times New Roman" w:hAnsi="Times New Roman" w:cs="Times New Roman" w:hint="eastAsia"/>
          <w:sz w:val="24"/>
        </w:rPr>
        <w:t xml:space="preserve"> </w:t>
      </w:r>
      <w:r w:rsidRPr="00702B2C">
        <w:rPr>
          <w:rFonts w:ascii="Times New Roman" w:hAnsi="Times New Roman" w:cs="Times New Roman"/>
          <w:sz w:val="24"/>
        </w:rPr>
        <w:t xml:space="preserve">In </w:t>
      </w:r>
      <w:r w:rsidR="00970C3F">
        <w:rPr>
          <w:rFonts w:ascii="Times New Roman" w:hAnsi="Times New Roman" w:cs="Times New Roman"/>
          <w:sz w:val="24"/>
        </w:rPr>
        <w:t>the current analysis</w:t>
      </w:r>
      <w:r w:rsidRPr="00702B2C">
        <w:rPr>
          <w:rFonts w:ascii="Times New Roman" w:hAnsi="Times New Roman" w:cs="Times New Roman"/>
          <w:sz w:val="24"/>
        </w:rPr>
        <w:t xml:space="preserve">, the </w:t>
      </w:r>
      <w:proofErr w:type="spellStart"/>
      <w:r w:rsidRPr="00702B2C">
        <w:rPr>
          <w:rFonts w:ascii="Times New Roman" w:hAnsi="Times New Roman" w:cs="Times New Roman"/>
          <w:sz w:val="24"/>
        </w:rPr>
        <w:t>clustergram</w:t>
      </w:r>
      <w:proofErr w:type="spellEnd"/>
      <w:r w:rsidRPr="00702B2C">
        <w:rPr>
          <w:rFonts w:ascii="Times New Roman" w:hAnsi="Times New Roman" w:cs="Times New Roman"/>
          <w:sz w:val="24"/>
        </w:rPr>
        <w:t xml:space="preserve"> visualized each school’s standardized values for advanced coursework and postsecondary outcomes, with red</w:t>
      </w:r>
      <w:r w:rsidR="00043D09">
        <w:rPr>
          <w:rFonts w:ascii="Times New Roman" w:hAnsi="Times New Roman" w:cs="Times New Roman" w:hint="eastAsia"/>
          <w:sz w:val="24"/>
        </w:rPr>
        <w:t>der</w:t>
      </w:r>
      <w:r w:rsidRPr="00702B2C">
        <w:rPr>
          <w:rFonts w:ascii="Times New Roman" w:hAnsi="Times New Roman" w:cs="Times New Roman" w:hint="eastAsia"/>
          <w:sz w:val="24"/>
        </w:rPr>
        <w:t xml:space="preserve"> </w:t>
      </w:r>
      <w:r w:rsidR="00910054">
        <w:rPr>
          <w:rFonts w:ascii="Times New Roman" w:hAnsi="Times New Roman" w:cs="Times New Roman"/>
          <w:sz w:val="24"/>
        </w:rPr>
        <w:t xml:space="preserve">color </w:t>
      </w:r>
      <w:r w:rsidRPr="00702B2C">
        <w:rPr>
          <w:rFonts w:ascii="Times New Roman" w:hAnsi="Times New Roman" w:cs="Times New Roman"/>
          <w:sz w:val="24"/>
        </w:rPr>
        <w:t>denoting higher</w:t>
      </w:r>
      <w:r w:rsidRPr="00702B2C">
        <w:rPr>
          <w:rFonts w:ascii="Times New Roman" w:hAnsi="Times New Roman" w:cs="Times New Roman" w:hint="eastAsia"/>
          <w:sz w:val="24"/>
        </w:rPr>
        <w:t xml:space="preserve"> </w:t>
      </w:r>
      <w:r w:rsidRPr="00702B2C">
        <w:rPr>
          <w:rFonts w:ascii="Times New Roman" w:hAnsi="Times New Roman" w:cs="Times New Roman"/>
          <w:sz w:val="24"/>
        </w:rPr>
        <w:t>values</w:t>
      </w:r>
      <w:r w:rsidR="00910054">
        <w:rPr>
          <w:rFonts w:ascii="Times New Roman" w:hAnsi="Times New Roman" w:cs="Times New Roman"/>
          <w:sz w:val="24"/>
        </w:rPr>
        <w:t xml:space="preserve">, </w:t>
      </w:r>
      <w:r w:rsidRPr="00702B2C">
        <w:rPr>
          <w:rFonts w:ascii="Times New Roman" w:hAnsi="Times New Roman" w:cs="Times New Roman"/>
          <w:sz w:val="24"/>
        </w:rPr>
        <w:t>blue</w:t>
      </w:r>
      <w:r w:rsidR="00043D09">
        <w:rPr>
          <w:rFonts w:ascii="Times New Roman" w:hAnsi="Times New Roman" w:cs="Times New Roman" w:hint="eastAsia"/>
          <w:sz w:val="24"/>
        </w:rPr>
        <w:t>r</w:t>
      </w:r>
      <w:r w:rsidRPr="00702B2C">
        <w:rPr>
          <w:rFonts w:ascii="Times New Roman" w:hAnsi="Times New Roman" w:cs="Times New Roman"/>
          <w:sz w:val="24"/>
        </w:rPr>
        <w:t xml:space="preserve"> </w:t>
      </w:r>
      <w:r w:rsidR="00910054">
        <w:rPr>
          <w:rFonts w:ascii="Times New Roman" w:hAnsi="Times New Roman" w:cs="Times New Roman"/>
          <w:sz w:val="24"/>
        </w:rPr>
        <w:t>indicating the lower</w:t>
      </w:r>
      <w:r w:rsidRPr="00702B2C">
        <w:rPr>
          <w:rFonts w:ascii="Times New Roman" w:hAnsi="Times New Roman" w:cs="Times New Roman"/>
          <w:sz w:val="24"/>
        </w:rPr>
        <w:t>, and dendrograms grouping similar schools by rows</w:t>
      </w:r>
      <w:r>
        <w:rPr>
          <w:rFonts w:ascii="Times New Roman" w:hAnsi="Times New Roman" w:cs="Times New Roman"/>
          <w:sz w:val="24"/>
        </w:rPr>
        <w:t xml:space="preserve"> (see Figure 1)</w:t>
      </w:r>
      <w:r w:rsidRPr="00702B2C">
        <w:rPr>
          <w:rFonts w:ascii="Times New Roman" w:hAnsi="Times New Roman" w:cs="Times New Roman"/>
          <w:sz w:val="24"/>
        </w:rPr>
        <w:t>.</w:t>
      </w:r>
      <w:r w:rsidR="00043D09">
        <w:rPr>
          <w:rFonts w:ascii="Times New Roman" w:hAnsi="Times New Roman" w:cs="Times New Roman"/>
          <w:sz w:val="24"/>
        </w:rPr>
        <w:t xml:space="preserve"> In addition, to investigate the potential structural barriers in postsecondary outcomes, annotations about whether a school is a charter school or magnet school, and percentage of economically disadvantaged students were added.</w:t>
      </w:r>
    </w:p>
    <w:p w14:paraId="7A2D8891" w14:textId="3F3DDBBE" w:rsidR="00587BC0" w:rsidRDefault="00587BC0" w:rsidP="001B728D">
      <w:pPr>
        <w:spacing w:line="480" w:lineRule="auto"/>
        <w:jc w:val="left"/>
        <w:rPr>
          <w:rFonts w:ascii="Times New Roman" w:hAnsi="Times New Roman" w:cs="Times New Roman"/>
          <w:b/>
          <w:bCs/>
          <w:sz w:val="24"/>
        </w:rPr>
      </w:pPr>
      <w:r>
        <w:rPr>
          <w:rFonts w:ascii="Times New Roman" w:hAnsi="Times New Roman" w:cs="Times New Roman"/>
          <w:b/>
          <w:bCs/>
          <w:sz w:val="24"/>
        </w:rPr>
        <w:t>Bubble Plot</w:t>
      </w:r>
    </w:p>
    <w:p w14:paraId="16FA682A" w14:textId="70F7878F" w:rsidR="00910054" w:rsidRDefault="00E66642" w:rsidP="001B728D">
      <w:pPr>
        <w:spacing w:line="480" w:lineRule="auto"/>
        <w:jc w:val="left"/>
        <w:rPr>
          <w:rFonts w:ascii="Times New Roman" w:hAnsi="Times New Roman" w:cs="Times New Roman"/>
          <w:sz w:val="24"/>
        </w:rPr>
      </w:pPr>
      <w:r>
        <w:rPr>
          <w:rFonts w:ascii="Times New Roman" w:hAnsi="Times New Roman" w:cs="Times New Roman"/>
          <w:b/>
          <w:bCs/>
          <w:sz w:val="24"/>
        </w:rPr>
        <w:tab/>
      </w:r>
      <w:r w:rsidRPr="00E66642">
        <w:rPr>
          <w:rFonts w:ascii="Times New Roman" w:hAnsi="Times New Roman" w:cs="Times New Roman"/>
          <w:sz w:val="24"/>
        </w:rPr>
        <w:t xml:space="preserve"> </w:t>
      </w:r>
      <w:r w:rsidR="008F4178" w:rsidRPr="008F4178">
        <w:rPr>
          <w:rFonts w:ascii="Times New Roman" w:hAnsi="Times New Roman" w:cs="Times New Roman"/>
          <w:sz w:val="24"/>
        </w:rPr>
        <w:t xml:space="preserve">A follow-up bubble plot was created alongside the </w:t>
      </w:r>
      <w:proofErr w:type="spellStart"/>
      <w:r w:rsidR="008F4178" w:rsidRPr="008F4178">
        <w:rPr>
          <w:rFonts w:ascii="Times New Roman" w:hAnsi="Times New Roman" w:cs="Times New Roman"/>
          <w:sz w:val="24"/>
        </w:rPr>
        <w:t>clustergram</w:t>
      </w:r>
      <w:proofErr w:type="spellEnd"/>
      <w:r w:rsidR="008F4178" w:rsidRPr="008F4178">
        <w:rPr>
          <w:rFonts w:ascii="Times New Roman" w:hAnsi="Times New Roman" w:cs="Times New Roman"/>
          <w:sz w:val="24"/>
        </w:rPr>
        <w:t xml:space="preserve"> to explore patterns within clusters with </w:t>
      </w:r>
      <w:r w:rsidR="008F4178">
        <w:rPr>
          <w:rFonts w:ascii="Times New Roman" w:hAnsi="Times New Roman" w:cs="Times New Roman"/>
          <w:sz w:val="24"/>
        </w:rPr>
        <w:t>better</w:t>
      </w:r>
      <w:r w:rsidR="008F4178" w:rsidRPr="008F4178">
        <w:rPr>
          <w:rFonts w:ascii="Times New Roman" w:hAnsi="Times New Roman" w:cs="Times New Roman"/>
          <w:sz w:val="24"/>
        </w:rPr>
        <w:t xml:space="preserve"> </w:t>
      </w:r>
      <w:r w:rsidR="008F4178">
        <w:rPr>
          <w:rFonts w:ascii="Times New Roman" w:hAnsi="Times New Roman" w:cs="Times New Roman"/>
          <w:sz w:val="24"/>
        </w:rPr>
        <w:t>educational attainment</w:t>
      </w:r>
      <w:r w:rsidR="008F4178" w:rsidRPr="008F4178">
        <w:rPr>
          <w:rFonts w:ascii="Times New Roman" w:hAnsi="Times New Roman" w:cs="Times New Roman"/>
          <w:sz w:val="24"/>
        </w:rPr>
        <w:t xml:space="preserve"> and to analyze how structural barriers influence these patterns.</w:t>
      </w:r>
      <w:r w:rsidR="008F4178">
        <w:rPr>
          <w:rFonts w:ascii="Times New Roman" w:hAnsi="Times New Roman" w:cs="Times New Roman"/>
          <w:sz w:val="24"/>
        </w:rPr>
        <w:t xml:space="preserve"> </w:t>
      </w:r>
      <w:r w:rsidR="00910054" w:rsidRPr="00910054">
        <w:rPr>
          <w:rFonts w:ascii="Times New Roman" w:hAnsi="Times New Roman" w:cs="Times New Roman"/>
          <w:sz w:val="24"/>
        </w:rPr>
        <w:t>Specifically, the plot focuse</w:t>
      </w:r>
      <w:r w:rsidR="008F4178">
        <w:rPr>
          <w:rFonts w:ascii="Times New Roman" w:hAnsi="Times New Roman" w:cs="Times New Roman"/>
          <w:sz w:val="24"/>
        </w:rPr>
        <w:t>d</w:t>
      </w:r>
      <w:r w:rsidR="00910054" w:rsidRPr="00910054">
        <w:rPr>
          <w:rFonts w:ascii="Times New Roman" w:hAnsi="Times New Roman" w:cs="Times New Roman"/>
          <w:sz w:val="24"/>
        </w:rPr>
        <w:t xml:space="preserve"> on the relationship between AP course enrollment and </w:t>
      </w:r>
      <w:r w:rsidR="00910054">
        <w:rPr>
          <w:rFonts w:ascii="Times New Roman" w:hAnsi="Times New Roman" w:cs="Times New Roman"/>
          <w:sz w:val="24"/>
        </w:rPr>
        <w:t xml:space="preserve">college enrollment, </w:t>
      </w:r>
      <w:r w:rsidR="00910054" w:rsidRPr="00910054">
        <w:rPr>
          <w:rFonts w:ascii="Times New Roman" w:hAnsi="Times New Roman" w:cs="Times New Roman"/>
          <w:sz w:val="24"/>
        </w:rPr>
        <w:t xml:space="preserve">two variables widely studied in the literature. </w:t>
      </w:r>
      <w:r w:rsidR="008F4178" w:rsidRPr="008F4178">
        <w:rPr>
          <w:rFonts w:ascii="Times New Roman" w:hAnsi="Times New Roman" w:cs="Times New Roman"/>
          <w:sz w:val="24"/>
        </w:rPr>
        <w:t xml:space="preserve">Drawing inspiration from the visualization presented by </w:t>
      </w:r>
      <w:proofErr w:type="spellStart"/>
      <w:r w:rsidR="008F4178" w:rsidRPr="008F4178">
        <w:rPr>
          <w:rFonts w:ascii="Times New Roman" w:hAnsi="Times New Roman" w:cs="Times New Roman"/>
          <w:sz w:val="24"/>
        </w:rPr>
        <w:t>Schwabish</w:t>
      </w:r>
      <w:proofErr w:type="spellEnd"/>
      <w:r w:rsidR="008F4178" w:rsidRPr="008F4178">
        <w:rPr>
          <w:rFonts w:ascii="Times New Roman" w:hAnsi="Times New Roman" w:cs="Times New Roman"/>
          <w:sz w:val="24"/>
        </w:rPr>
        <w:t xml:space="preserve"> (2021, p.40), quadrants were incorporated into the bubble plot. These quadrants were defined by the mean values of the two variables, corresponding to a standardized value of 0 in the heatmap.</w:t>
      </w:r>
      <w:r w:rsidR="008F4178">
        <w:rPr>
          <w:rFonts w:ascii="Times New Roman" w:hAnsi="Times New Roman" w:cs="Times New Roman"/>
          <w:sz w:val="24"/>
        </w:rPr>
        <w:t xml:space="preserve"> </w:t>
      </w:r>
      <w:r w:rsidR="00910054" w:rsidRPr="00910054">
        <w:rPr>
          <w:rFonts w:ascii="Times New Roman" w:hAnsi="Times New Roman" w:cs="Times New Roman"/>
          <w:sz w:val="24"/>
        </w:rPr>
        <w:t>To contextualize these patterns, the size of each bubble represent</w:t>
      </w:r>
      <w:r w:rsidR="008F4178">
        <w:rPr>
          <w:rFonts w:ascii="Times New Roman" w:hAnsi="Times New Roman" w:cs="Times New Roman"/>
          <w:sz w:val="24"/>
        </w:rPr>
        <w:t>ed</w:t>
      </w:r>
      <w:r w:rsidR="00910054" w:rsidRPr="00910054">
        <w:rPr>
          <w:rFonts w:ascii="Times New Roman" w:hAnsi="Times New Roman" w:cs="Times New Roman"/>
          <w:sz w:val="24"/>
        </w:rPr>
        <w:t xml:space="preserve"> the percentage of economically disadvantaged students in each school, while the color indicate</w:t>
      </w:r>
      <w:r w:rsidR="008F4178">
        <w:rPr>
          <w:rFonts w:ascii="Times New Roman" w:hAnsi="Times New Roman" w:cs="Times New Roman"/>
          <w:sz w:val="24"/>
        </w:rPr>
        <w:t>d</w:t>
      </w:r>
      <w:r w:rsidR="00910054" w:rsidRPr="00910054">
        <w:rPr>
          <w:rFonts w:ascii="Times New Roman" w:hAnsi="Times New Roman" w:cs="Times New Roman"/>
          <w:sz w:val="24"/>
        </w:rPr>
        <w:t xml:space="preserve"> the </w:t>
      </w:r>
      <w:r w:rsidR="00E36A50">
        <w:rPr>
          <w:rFonts w:ascii="Times New Roman" w:hAnsi="Times New Roman" w:cs="Times New Roman"/>
          <w:sz w:val="24"/>
        </w:rPr>
        <w:t xml:space="preserve">clusters with better educational attainment. </w:t>
      </w:r>
    </w:p>
    <w:p w14:paraId="19F6A20E" w14:textId="1A8C648E" w:rsidR="000B67F8" w:rsidRDefault="000B67F8" w:rsidP="001B728D">
      <w:pPr>
        <w:spacing w:line="480" w:lineRule="auto"/>
        <w:jc w:val="left"/>
        <w:rPr>
          <w:rFonts w:ascii="Times New Roman" w:hAnsi="Times New Roman" w:cs="Times New Roman"/>
          <w:b/>
          <w:bCs/>
          <w:sz w:val="24"/>
        </w:rPr>
      </w:pPr>
      <w:r>
        <w:rPr>
          <w:rFonts w:ascii="Times New Roman" w:hAnsi="Times New Roman" w:cs="Times New Roman"/>
          <w:b/>
          <w:bCs/>
          <w:sz w:val="24"/>
        </w:rPr>
        <w:t xml:space="preserve">R Packages </w:t>
      </w:r>
    </w:p>
    <w:p w14:paraId="77A9A396" w14:textId="0D0E4FD8" w:rsidR="00B97C36" w:rsidRDefault="000B67F8" w:rsidP="001B728D">
      <w:pPr>
        <w:spacing w:line="480" w:lineRule="auto"/>
        <w:ind w:firstLine="720"/>
        <w:jc w:val="left"/>
        <w:rPr>
          <w:rFonts w:ascii="Times New Roman" w:hAnsi="Times New Roman" w:cs="Times New Roman"/>
          <w:sz w:val="24"/>
        </w:rPr>
      </w:pPr>
      <w:r w:rsidRPr="000B67F8">
        <w:rPr>
          <w:rFonts w:ascii="Times New Roman" w:hAnsi="Times New Roman" w:cs="Times New Roman"/>
          <w:sz w:val="24"/>
        </w:rPr>
        <w:t xml:space="preserve">Data preparation, </w:t>
      </w:r>
      <w:r>
        <w:rPr>
          <w:rFonts w:ascii="Times New Roman" w:hAnsi="Times New Roman" w:cs="Times New Roman"/>
          <w:sz w:val="24"/>
        </w:rPr>
        <w:t>HCA</w:t>
      </w:r>
      <w:r w:rsidRPr="000B67F8">
        <w:rPr>
          <w:rFonts w:ascii="Times New Roman" w:hAnsi="Times New Roman" w:cs="Times New Roman"/>
          <w:sz w:val="24"/>
        </w:rPr>
        <w:t>, and visualization</w:t>
      </w:r>
      <w:r>
        <w:rPr>
          <w:rFonts w:ascii="Times New Roman" w:hAnsi="Times New Roman" w:cs="Times New Roman"/>
          <w:sz w:val="24"/>
        </w:rPr>
        <w:t xml:space="preserve">s </w:t>
      </w:r>
      <w:r w:rsidRPr="000B67F8">
        <w:rPr>
          <w:rFonts w:ascii="Times New Roman" w:hAnsi="Times New Roman" w:cs="Times New Roman"/>
          <w:sz w:val="24"/>
        </w:rPr>
        <w:t>were performed using R</w:t>
      </w:r>
      <w:r w:rsidR="00F557FC">
        <w:rPr>
          <w:rFonts w:ascii="Times New Roman" w:hAnsi="Times New Roman" w:cs="Times New Roman"/>
          <w:sz w:val="24"/>
        </w:rPr>
        <w:t xml:space="preserve"> (V</w:t>
      </w:r>
      <w:r w:rsidRPr="000B67F8">
        <w:rPr>
          <w:rFonts w:ascii="Times New Roman" w:hAnsi="Times New Roman" w:cs="Times New Roman"/>
          <w:sz w:val="24"/>
        </w:rPr>
        <w:t>ersion 4.3.2</w:t>
      </w:r>
      <w:r w:rsidR="00F557FC">
        <w:rPr>
          <w:rFonts w:ascii="Times New Roman" w:hAnsi="Times New Roman" w:cs="Times New Roman"/>
          <w:sz w:val="24"/>
        </w:rPr>
        <w:t>)</w:t>
      </w:r>
      <w:r w:rsidRPr="000B67F8">
        <w:rPr>
          <w:rFonts w:ascii="Times New Roman" w:hAnsi="Times New Roman" w:cs="Times New Roman"/>
          <w:sz w:val="24"/>
        </w:rPr>
        <w:t xml:space="preserve">. </w:t>
      </w:r>
      <w:r>
        <w:rPr>
          <w:rFonts w:ascii="Times New Roman" w:hAnsi="Times New Roman" w:cs="Times New Roman"/>
          <w:sz w:val="24"/>
        </w:rPr>
        <w:t xml:space="preserve">The </w:t>
      </w:r>
      <w:r>
        <w:rPr>
          <w:rFonts w:ascii="Times New Roman" w:hAnsi="Times New Roman" w:cs="Times New Roman"/>
          <w:sz w:val="24"/>
        </w:rPr>
        <w:lastRenderedPageBreak/>
        <w:t>R packages used</w:t>
      </w:r>
      <w:r w:rsidR="008F4178">
        <w:rPr>
          <w:rFonts w:ascii="Times New Roman" w:hAnsi="Times New Roman" w:cs="Times New Roman"/>
          <w:sz w:val="24"/>
        </w:rPr>
        <w:t xml:space="preserve"> </w:t>
      </w:r>
      <w:r>
        <w:rPr>
          <w:rFonts w:ascii="Times New Roman" w:hAnsi="Times New Roman" w:cs="Times New Roman"/>
          <w:sz w:val="24"/>
        </w:rPr>
        <w:t xml:space="preserve">were listed in Table 3. </w:t>
      </w:r>
      <w:r w:rsidR="00411B61">
        <w:rPr>
          <w:rFonts w:ascii="Times New Roman" w:hAnsi="Times New Roman" w:cs="Times New Roman"/>
          <w:sz w:val="24"/>
        </w:rPr>
        <w:t xml:space="preserve">Particularly, the HCA heatmap </w:t>
      </w:r>
      <w:r w:rsidR="00B97C36">
        <w:rPr>
          <w:rFonts w:ascii="Times New Roman" w:hAnsi="Times New Roman" w:cs="Times New Roman"/>
          <w:sz w:val="24"/>
        </w:rPr>
        <w:t>was</w:t>
      </w:r>
      <w:r w:rsidR="00411B61">
        <w:rPr>
          <w:rFonts w:ascii="Times New Roman" w:hAnsi="Times New Roman" w:cs="Times New Roman"/>
          <w:sz w:val="24"/>
        </w:rPr>
        <w:t xml:space="preserve"> </w:t>
      </w:r>
      <w:r w:rsidR="00B97C36">
        <w:rPr>
          <w:rFonts w:ascii="Times New Roman" w:hAnsi="Times New Roman" w:cs="Times New Roman"/>
          <w:sz w:val="24"/>
        </w:rPr>
        <w:t xml:space="preserve">created using </w:t>
      </w:r>
      <w:r w:rsidR="00411B61">
        <w:rPr>
          <w:rFonts w:ascii="Times New Roman" w:hAnsi="Times New Roman" w:cs="Times New Roman"/>
          <w:sz w:val="24"/>
        </w:rPr>
        <w:t xml:space="preserve">the </w:t>
      </w:r>
      <w:proofErr w:type="spellStart"/>
      <w:r w:rsidR="00411B61" w:rsidRPr="00B97C36">
        <w:rPr>
          <w:rFonts w:ascii="Courier New" w:hAnsi="Courier New" w:cs="Courier New"/>
          <w:sz w:val="24"/>
        </w:rPr>
        <w:t>ComplexHeatmap</w:t>
      </w:r>
      <w:proofErr w:type="spellEnd"/>
      <w:r w:rsidR="00411B61">
        <w:rPr>
          <w:rFonts w:ascii="Times New Roman" w:hAnsi="Times New Roman" w:cs="Times New Roman"/>
          <w:sz w:val="24"/>
        </w:rPr>
        <w:t xml:space="preserve"> package (</w:t>
      </w:r>
      <w:r w:rsidR="00B20C5D">
        <w:rPr>
          <w:rFonts w:ascii="Times New Roman" w:hAnsi="Times New Roman" w:cs="Times New Roman"/>
          <w:sz w:val="24"/>
        </w:rPr>
        <w:t>Gu et al., 2016; Gu, 2022</w:t>
      </w:r>
      <w:r w:rsidR="00411B61">
        <w:rPr>
          <w:rFonts w:ascii="Times New Roman" w:hAnsi="Times New Roman" w:cs="Times New Roman"/>
          <w:sz w:val="24"/>
        </w:rPr>
        <w:t xml:space="preserve">).  </w:t>
      </w:r>
    </w:p>
    <w:p w14:paraId="0A7B6153" w14:textId="5820D21D" w:rsidR="00587BC0" w:rsidRDefault="005A0D7B" w:rsidP="001B728D">
      <w:pPr>
        <w:spacing w:line="480" w:lineRule="auto"/>
        <w:jc w:val="center"/>
        <w:rPr>
          <w:rFonts w:ascii="Times New Roman" w:hAnsi="Times New Roman" w:cs="Times New Roman"/>
          <w:b/>
          <w:bCs/>
          <w:sz w:val="24"/>
        </w:rPr>
      </w:pPr>
      <w:r>
        <w:rPr>
          <w:rFonts w:ascii="Times New Roman" w:hAnsi="Times New Roman" w:cs="Times New Roman"/>
          <w:b/>
          <w:bCs/>
          <w:sz w:val="24"/>
        </w:rPr>
        <w:t>Results</w:t>
      </w:r>
    </w:p>
    <w:p w14:paraId="711AD926" w14:textId="69B0A805" w:rsidR="008D1196" w:rsidRDefault="008D1196" w:rsidP="001B728D">
      <w:pPr>
        <w:spacing w:line="480" w:lineRule="auto"/>
        <w:rPr>
          <w:rFonts w:ascii="Times New Roman" w:hAnsi="Times New Roman" w:cs="Times New Roman"/>
          <w:b/>
          <w:bCs/>
          <w:sz w:val="24"/>
        </w:rPr>
      </w:pPr>
      <w:proofErr w:type="spellStart"/>
      <w:r>
        <w:rPr>
          <w:rFonts w:ascii="Times New Roman" w:hAnsi="Times New Roman" w:cs="Times New Roman"/>
          <w:b/>
          <w:bCs/>
          <w:sz w:val="24"/>
        </w:rPr>
        <w:t>Clustergram</w:t>
      </w:r>
      <w:proofErr w:type="spellEnd"/>
    </w:p>
    <w:p w14:paraId="4AA8DF71" w14:textId="593DFFA0" w:rsidR="00587BC0" w:rsidRPr="00587001" w:rsidRDefault="00587BC0" w:rsidP="001B728D">
      <w:pPr>
        <w:spacing w:line="480" w:lineRule="auto"/>
        <w:jc w:val="left"/>
        <w:rPr>
          <w:rFonts w:ascii="Times New Roman" w:hAnsi="Times New Roman" w:cs="Times New Roman"/>
          <w:b/>
          <w:bCs/>
          <w:sz w:val="24"/>
        </w:rPr>
      </w:pPr>
      <w:r>
        <w:rPr>
          <w:rFonts w:ascii="Times New Roman" w:hAnsi="Times New Roman" w:cs="Times New Roman"/>
          <w:b/>
          <w:bCs/>
          <w:sz w:val="24"/>
        </w:rPr>
        <w:tab/>
      </w:r>
      <w:r w:rsidR="008D1196" w:rsidRPr="008D1196">
        <w:rPr>
          <w:rFonts w:ascii="Times New Roman" w:hAnsi="Times New Roman" w:cs="Times New Roman"/>
          <w:sz w:val="24"/>
        </w:rPr>
        <w:t xml:space="preserve">As illustrated by </w:t>
      </w:r>
      <w:r w:rsidR="008B2C34">
        <w:rPr>
          <w:rFonts w:ascii="Times New Roman" w:hAnsi="Times New Roman" w:cs="Times New Roman"/>
          <w:sz w:val="24"/>
        </w:rPr>
        <w:t>Figure 1</w:t>
      </w:r>
      <w:r w:rsidR="008D1196" w:rsidRPr="008D1196">
        <w:rPr>
          <w:rFonts w:ascii="Times New Roman" w:hAnsi="Times New Roman" w:cs="Times New Roman"/>
          <w:sz w:val="24"/>
        </w:rPr>
        <w:t>, four schools clusters were identified. Cluster 2 and 3 reveal</w:t>
      </w:r>
      <w:r w:rsidR="008B2C34">
        <w:rPr>
          <w:rFonts w:ascii="Times New Roman" w:hAnsi="Times New Roman" w:cs="Times New Roman"/>
          <w:sz w:val="24"/>
        </w:rPr>
        <w:t>ed</w:t>
      </w:r>
      <w:r w:rsidR="008D1196" w:rsidRPr="008D1196">
        <w:rPr>
          <w:rFonts w:ascii="Times New Roman" w:hAnsi="Times New Roman" w:cs="Times New Roman"/>
          <w:sz w:val="24"/>
        </w:rPr>
        <w:t xml:space="preserve"> interesting patterns that are insightful for understanding the relationship between access to advanced coursework and postsecondary outcomes under structural context. In </w:t>
      </w:r>
      <w:r w:rsidR="008B2C34">
        <w:rPr>
          <w:rFonts w:ascii="Times New Roman" w:hAnsi="Times New Roman" w:cs="Times New Roman"/>
          <w:sz w:val="24"/>
        </w:rPr>
        <w:t>C</w:t>
      </w:r>
      <w:r w:rsidR="008D1196" w:rsidRPr="008D1196">
        <w:rPr>
          <w:rFonts w:ascii="Times New Roman" w:hAnsi="Times New Roman" w:cs="Times New Roman"/>
          <w:sz w:val="24"/>
        </w:rPr>
        <w:t xml:space="preserve">luster 2, two groups of schools </w:t>
      </w:r>
      <w:r w:rsidR="008B2C34">
        <w:rPr>
          <w:rFonts w:ascii="Times New Roman" w:hAnsi="Times New Roman" w:cs="Times New Roman"/>
          <w:sz w:val="24"/>
        </w:rPr>
        <w:t>e</w:t>
      </w:r>
      <w:r w:rsidR="008D1196" w:rsidRPr="008D1196">
        <w:rPr>
          <w:rFonts w:ascii="Times New Roman" w:hAnsi="Times New Roman" w:cs="Times New Roman"/>
          <w:sz w:val="24"/>
        </w:rPr>
        <w:t>merged with higher availability of advanced STEM courses but show</w:t>
      </w:r>
      <w:r w:rsidR="008B2C34">
        <w:rPr>
          <w:rFonts w:ascii="Times New Roman" w:hAnsi="Times New Roman" w:cs="Times New Roman"/>
          <w:sz w:val="24"/>
        </w:rPr>
        <w:t>ed different</w:t>
      </w:r>
      <w:r w:rsidR="008D1196" w:rsidRPr="008D1196">
        <w:rPr>
          <w:rFonts w:ascii="Times New Roman" w:hAnsi="Times New Roman" w:cs="Times New Roman"/>
          <w:sz w:val="24"/>
        </w:rPr>
        <w:t xml:space="preserve"> patterns in</w:t>
      </w:r>
      <w:r w:rsidR="008D1196" w:rsidRPr="00587BC0">
        <w:rPr>
          <w:rFonts w:ascii="Times New Roman" w:hAnsi="Times New Roman" w:cs="Times New Roman"/>
          <w:sz w:val="24"/>
        </w:rPr>
        <w:t xml:space="preserve"> STEM course enrollment, college-level course participation, and educational attainment outcome</w:t>
      </w:r>
      <w:r w:rsidR="008B2C34">
        <w:rPr>
          <w:rFonts w:ascii="Times New Roman" w:hAnsi="Times New Roman" w:cs="Times New Roman"/>
          <w:sz w:val="24"/>
        </w:rPr>
        <w:t>s</w:t>
      </w:r>
      <w:r w:rsidR="008D1196">
        <w:rPr>
          <w:rFonts w:ascii="Times New Roman" w:hAnsi="Times New Roman" w:cs="Times New Roman"/>
          <w:sz w:val="24"/>
        </w:rPr>
        <w:t xml:space="preserve">. A closer examination </w:t>
      </w:r>
      <w:r w:rsidR="008B2C34">
        <w:rPr>
          <w:rFonts w:ascii="Times New Roman" w:hAnsi="Times New Roman" w:cs="Times New Roman"/>
          <w:sz w:val="24"/>
        </w:rPr>
        <w:t xml:space="preserve">indicated </w:t>
      </w:r>
      <w:r w:rsidR="008D1196">
        <w:rPr>
          <w:rFonts w:ascii="Times New Roman" w:hAnsi="Times New Roman" w:cs="Times New Roman"/>
          <w:sz w:val="24"/>
        </w:rPr>
        <w:t xml:space="preserve">that schools with more economically disadvantaged students, represented by the top segment in </w:t>
      </w:r>
      <w:r w:rsidR="008B2C34">
        <w:rPr>
          <w:rFonts w:ascii="Times New Roman" w:hAnsi="Times New Roman" w:cs="Times New Roman"/>
          <w:sz w:val="24"/>
        </w:rPr>
        <w:t>C</w:t>
      </w:r>
      <w:r w:rsidR="008D1196">
        <w:rPr>
          <w:rFonts w:ascii="Times New Roman" w:hAnsi="Times New Roman" w:cs="Times New Roman"/>
          <w:sz w:val="24"/>
        </w:rPr>
        <w:t xml:space="preserve">luster 2, </w:t>
      </w:r>
      <w:r w:rsidR="00AD7BC3">
        <w:rPr>
          <w:rFonts w:ascii="Times New Roman" w:hAnsi="Times New Roman" w:cs="Times New Roman"/>
          <w:sz w:val="24"/>
        </w:rPr>
        <w:t>had</w:t>
      </w:r>
      <w:r w:rsidR="008B2C34">
        <w:rPr>
          <w:rFonts w:ascii="Times New Roman" w:hAnsi="Times New Roman" w:cs="Times New Roman"/>
          <w:sz w:val="24"/>
        </w:rPr>
        <w:t xml:space="preserve"> </w:t>
      </w:r>
      <w:r w:rsidR="002D473E">
        <w:rPr>
          <w:rFonts w:ascii="Times New Roman" w:hAnsi="Times New Roman" w:cs="Times New Roman"/>
          <w:sz w:val="24"/>
        </w:rPr>
        <w:t>lower participation in advanced coursework and college enrollment</w:t>
      </w:r>
      <w:r w:rsidR="00587001">
        <w:rPr>
          <w:rFonts w:ascii="Times New Roman" w:hAnsi="Times New Roman" w:cs="Times New Roman"/>
          <w:sz w:val="24"/>
        </w:rPr>
        <w:t xml:space="preserve">. </w:t>
      </w:r>
      <w:r w:rsidRPr="00587BC0">
        <w:rPr>
          <w:rFonts w:ascii="Times New Roman" w:hAnsi="Times New Roman" w:cs="Times New Roman"/>
          <w:sz w:val="24"/>
        </w:rPr>
        <w:t xml:space="preserve">Additionally, some schools in this segment are magnet schools, which are designed to offer specialized programs, potentially explaining the higher availability of advanced STEM courses. However, despite the availability, students in these schools </w:t>
      </w:r>
      <w:r w:rsidR="00AD7BC3">
        <w:rPr>
          <w:rFonts w:ascii="Times New Roman" w:hAnsi="Times New Roman" w:cs="Times New Roman"/>
          <w:sz w:val="24"/>
        </w:rPr>
        <w:t>were</w:t>
      </w:r>
      <w:r w:rsidRPr="00587BC0">
        <w:rPr>
          <w:rFonts w:ascii="Times New Roman" w:hAnsi="Times New Roman" w:cs="Times New Roman"/>
          <w:sz w:val="24"/>
        </w:rPr>
        <w:t xml:space="preserve"> not </w:t>
      </w:r>
      <w:r w:rsidR="00587001">
        <w:rPr>
          <w:rFonts w:ascii="Times New Roman" w:hAnsi="Times New Roman" w:cs="Times New Roman"/>
          <w:sz w:val="24"/>
        </w:rPr>
        <w:t>actively enrolled</w:t>
      </w:r>
      <w:r w:rsidRPr="00587BC0">
        <w:rPr>
          <w:rFonts w:ascii="Times New Roman" w:hAnsi="Times New Roman" w:cs="Times New Roman"/>
          <w:sz w:val="24"/>
        </w:rPr>
        <w:t xml:space="preserve"> in these</w:t>
      </w:r>
      <w:r w:rsidR="00587001">
        <w:rPr>
          <w:rFonts w:ascii="Times New Roman" w:hAnsi="Times New Roman" w:cs="Times New Roman"/>
          <w:sz w:val="24"/>
        </w:rPr>
        <w:t xml:space="preserve"> courses</w:t>
      </w:r>
      <w:r w:rsidRPr="00587BC0">
        <w:rPr>
          <w:rFonts w:ascii="Times New Roman" w:hAnsi="Times New Roman" w:cs="Times New Roman"/>
          <w:sz w:val="24"/>
        </w:rPr>
        <w:t>, highlighting a potential disconnect</w:t>
      </w:r>
      <w:r w:rsidR="008B2C34">
        <w:rPr>
          <w:rFonts w:ascii="Times New Roman" w:hAnsi="Times New Roman" w:cs="Times New Roman"/>
          <w:sz w:val="24"/>
        </w:rPr>
        <w:t xml:space="preserve">ion </w:t>
      </w:r>
      <w:r w:rsidRPr="00587BC0">
        <w:rPr>
          <w:rFonts w:ascii="Times New Roman" w:hAnsi="Times New Roman" w:cs="Times New Roman"/>
          <w:sz w:val="24"/>
        </w:rPr>
        <w:t xml:space="preserve">between course availability and actual participation. This trend signals that the presence of advanced coursework alone </w:t>
      </w:r>
      <w:r w:rsidR="00AD7BC3">
        <w:rPr>
          <w:rFonts w:ascii="Times New Roman" w:hAnsi="Times New Roman" w:cs="Times New Roman"/>
          <w:sz w:val="24"/>
        </w:rPr>
        <w:t>might</w:t>
      </w:r>
      <w:r w:rsidRPr="00587BC0">
        <w:rPr>
          <w:rFonts w:ascii="Times New Roman" w:hAnsi="Times New Roman" w:cs="Times New Roman"/>
          <w:sz w:val="24"/>
        </w:rPr>
        <w:t xml:space="preserve"> not bridge the equity gap if students from disadvantaged backgrounds do not participate in these opportunities.</w:t>
      </w:r>
    </w:p>
    <w:p w14:paraId="4B90DF4C" w14:textId="309C9B00" w:rsidR="00587BC0" w:rsidRPr="00587BC0" w:rsidRDefault="00587BC0" w:rsidP="001B728D">
      <w:pPr>
        <w:spacing w:line="480" w:lineRule="auto"/>
        <w:ind w:firstLine="720"/>
        <w:jc w:val="left"/>
        <w:rPr>
          <w:rFonts w:ascii="Times New Roman" w:hAnsi="Times New Roman" w:cs="Times New Roman"/>
          <w:sz w:val="24"/>
        </w:rPr>
      </w:pPr>
      <w:r w:rsidRPr="00587BC0">
        <w:rPr>
          <w:rFonts w:ascii="Times New Roman" w:hAnsi="Times New Roman" w:cs="Times New Roman"/>
          <w:sz w:val="24"/>
        </w:rPr>
        <w:t xml:space="preserve">Despite having limited availability of STEM courses, lower enrollment, and inactive participation in college-level courses, schools in </w:t>
      </w:r>
      <w:r w:rsidR="008B2C34">
        <w:rPr>
          <w:rFonts w:ascii="Times New Roman" w:hAnsi="Times New Roman" w:cs="Times New Roman"/>
          <w:sz w:val="24"/>
        </w:rPr>
        <w:t>C</w:t>
      </w:r>
      <w:r w:rsidRPr="00587BC0">
        <w:rPr>
          <w:rFonts w:ascii="Times New Roman" w:hAnsi="Times New Roman" w:cs="Times New Roman"/>
          <w:sz w:val="24"/>
        </w:rPr>
        <w:t>luster 3 demonstrate</w:t>
      </w:r>
      <w:r w:rsidR="008B2C34">
        <w:rPr>
          <w:rFonts w:ascii="Times New Roman" w:hAnsi="Times New Roman" w:cs="Times New Roman"/>
          <w:sz w:val="24"/>
        </w:rPr>
        <w:t xml:space="preserve">d </w:t>
      </w:r>
      <w:r w:rsidRPr="00587BC0">
        <w:rPr>
          <w:rFonts w:ascii="Times New Roman" w:hAnsi="Times New Roman" w:cs="Times New Roman"/>
          <w:sz w:val="24"/>
        </w:rPr>
        <w:t>strong educational attainment outcomes. This pattern suggest</w:t>
      </w:r>
      <w:r w:rsidR="00AD7BC3">
        <w:rPr>
          <w:rFonts w:ascii="Times New Roman" w:hAnsi="Times New Roman" w:cs="Times New Roman"/>
          <w:sz w:val="24"/>
        </w:rPr>
        <w:t>ed</w:t>
      </w:r>
      <w:r w:rsidRPr="00587BC0">
        <w:rPr>
          <w:rFonts w:ascii="Times New Roman" w:hAnsi="Times New Roman" w:cs="Times New Roman"/>
          <w:sz w:val="24"/>
        </w:rPr>
        <w:t xml:space="preserve"> that positive postsecondary outcomes are achievable even when access to rigorous coursework is limited. However, the annotations in the </w:t>
      </w:r>
      <w:proofErr w:type="spellStart"/>
      <w:r w:rsidR="00AD7BC3">
        <w:rPr>
          <w:rFonts w:ascii="Times New Roman" w:hAnsi="Times New Roman" w:cs="Times New Roman"/>
          <w:sz w:val="24"/>
        </w:rPr>
        <w:t>clustergram</w:t>
      </w:r>
      <w:proofErr w:type="spellEnd"/>
      <w:r w:rsidRPr="00587BC0">
        <w:rPr>
          <w:rFonts w:ascii="Times New Roman" w:hAnsi="Times New Roman" w:cs="Times New Roman"/>
          <w:sz w:val="24"/>
        </w:rPr>
        <w:t xml:space="preserve"> indicate</w:t>
      </w:r>
      <w:r w:rsidR="008B2C34">
        <w:rPr>
          <w:rFonts w:ascii="Times New Roman" w:hAnsi="Times New Roman" w:cs="Times New Roman"/>
          <w:sz w:val="24"/>
        </w:rPr>
        <w:t>d</w:t>
      </w:r>
      <w:r w:rsidRPr="00587BC0">
        <w:rPr>
          <w:rFonts w:ascii="Times New Roman" w:hAnsi="Times New Roman" w:cs="Times New Roman"/>
          <w:sz w:val="24"/>
        </w:rPr>
        <w:t xml:space="preserve"> that most of these schools are charter schools with a low percentage of economically </w:t>
      </w:r>
      <w:r w:rsidRPr="00587BC0">
        <w:rPr>
          <w:rFonts w:ascii="Times New Roman" w:hAnsi="Times New Roman" w:cs="Times New Roman"/>
          <w:sz w:val="24"/>
        </w:rPr>
        <w:lastRenderedPageBreak/>
        <w:t xml:space="preserve">disadvantaged students. Notably, several schools in this cluster </w:t>
      </w:r>
      <w:r w:rsidR="00AD7BC3">
        <w:rPr>
          <w:rFonts w:ascii="Times New Roman" w:hAnsi="Times New Roman" w:cs="Times New Roman"/>
          <w:sz w:val="24"/>
        </w:rPr>
        <w:t>had</w:t>
      </w:r>
      <w:r w:rsidRPr="00587BC0">
        <w:rPr>
          <w:rFonts w:ascii="Times New Roman" w:hAnsi="Times New Roman" w:cs="Times New Roman"/>
          <w:sz w:val="24"/>
        </w:rPr>
        <w:t xml:space="preserve"> a higher percentage </w:t>
      </w:r>
      <w:r>
        <w:rPr>
          <w:rFonts w:ascii="Times New Roman" w:hAnsi="Times New Roman" w:cs="Times New Roman"/>
          <w:sz w:val="24"/>
        </w:rPr>
        <w:t>o</w:t>
      </w:r>
      <w:r w:rsidRPr="00587BC0">
        <w:rPr>
          <w:rFonts w:ascii="Times New Roman" w:hAnsi="Times New Roman" w:cs="Times New Roman"/>
          <w:sz w:val="24"/>
        </w:rPr>
        <w:t xml:space="preserve">f economically disadvantaged students. Further investigation into these schools could provide valuable insights for school leaders </w:t>
      </w:r>
      <w:r w:rsidR="008B2C34">
        <w:rPr>
          <w:rFonts w:ascii="Times New Roman" w:hAnsi="Times New Roman" w:cs="Times New Roman"/>
          <w:sz w:val="24"/>
        </w:rPr>
        <w:t>into</w:t>
      </w:r>
      <w:r w:rsidRPr="00587BC0">
        <w:rPr>
          <w:rFonts w:ascii="Times New Roman" w:hAnsi="Times New Roman" w:cs="Times New Roman"/>
          <w:sz w:val="24"/>
        </w:rPr>
        <w:t xml:space="preserve"> practices that support high educational attainment for students from disadvantaged backgrounds. </w:t>
      </w:r>
    </w:p>
    <w:p w14:paraId="5627C1A6" w14:textId="542AA8CC" w:rsidR="00587001" w:rsidRDefault="00587BC0" w:rsidP="001B728D">
      <w:pPr>
        <w:spacing w:line="480" w:lineRule="auto"/>
        <w:jc w:val="left"/>
        <w:rPr>
          <w:rFonts w:ascii="Times New Roman" w:hAnsi="Times New Roman" w:cs="Times New Roman"/>
          <w:sz w:val="24"/>
        </w:rPr>
      </w:pPr>
      <w:r w:rsidRPr="00587BC0">
        <w:rPr>
          <w:rFonts w:ascii="Times New Roman" w:hAnsi="Times New Roman" w:cs="Times New Roman"/>
          <w:sz w:val="24"/>
        </w:rPr>
        <w:tab/>
        <w:t xml:space="preserve">Schools in </w:t>
      </w:r>
      <w:r w:rsidR="008B2C34">
        <w:rPr>
          <w:rFonts w:ascii="Times New Roman" w:hAnsi="Times New Roman" w:cs="Times New Roman"/>
          <w:sz w:val="24"/>
        </w:rPr>
        <w:t>C</w:t>
      </w:r>
      <w:r w:rsidRPr="00587BC0">
        <w:rPr>
          <w:rFonts w:ascii="Times New Roman" w:hAnsi="Times New Roman" w:cs="Times New Roman"/>
          <w:sz w:val="24"/>
        </w:rPr>
        <w:t>luster 1 display</w:t>
      </w:r>
      <w:r w:rsidR="008B2C34">
        <w:rPr>
          <w:rFonts w:ascii="Times New Roman" w:hAnsi="Times New Roman" w:cs="Times New Roman"/>
          <w:sz w:val="24"/>
        </w:rPr>
        <w:t xml:space="preserve">ed </w:t>
      </w:r>
      <w:r w:rsidRPr="00587BC0">
        <w:rPr>
          <w:rFonts w:ascii="Times New Roman" w:hAnsi="Times New Roman" w:cs="Times New Roman"/>
          <w:sz w:val="24"/>
        </w:rPr>
        <w:t xml:space="preserve">patterns opposite to the top segment of </w:t>
      </w:r>
      <w:r w:rsidR="008B2C34">
        <w:rPr>
          <w:rFonts w:ascii="Times New Roman" w:hAnsi="Times New Roman" w:cs="Times New Roman"/>
          <w:sz w:val="24"/>
        </w:rPr>
        <w:t>C</w:t>
      </w:r>
      <w:r w:rsidRPr="00587BC0">
        <w:rPr>
          <w:rFonts w:ascii="Times New Roman" w:hAnsi="Times New Roman" w:cs="Times New Roman"/>
          <w:sz w:val="24"/>
        </w:rPr>
        <w:t xml:space="preserve">luster 2, as they </w:t>
      </w:r>
      <w:r w:rsidR="00AD7BC3">
        <w:rPr>
          <w:rFonts w:ascii="Times New Roman" w:hAnsi="Times New Roman" w:cs="Times New Roman"/>
          <w:sz w:val="24"/>
        </w:rPr>
        <w:t>had</w:t>
      </w:r>
      <w:r w:rsidRPr="00587BC0">
        <w:rPr>
          <w:rFonts w:ascii="Times New Roman" w:hAnsi="Times New Roman" w:cs="Times New Roman"/>
          <w:sz w:val="24"/>
        </w:rPr>
        <w:t xml:space="preserve"> fewer STEM courses available, yet students actively participate in those courses as well as in college-level courses. Students in these schools also demonstrate</w:t>
      </w:r>
      <w:r w:rsidR="00AD7BC3">
        <w:rPr>
          <w:rFonts w:ascii="Times New Roman" w:hAnsi="Times New Roman" w:cs="Times New Roman"/>
          <w:sz w:val="24"/>
        </w:rPr>
        <w:t xml:space="preserve">d </w:t>
      </w:r>
      <w:r w:rsidRPr="00587BC0">
        <w:rPr>
          <w:rFonts w:ascii="Times New Roman" w:hAnsi="Times New Roman" w:cs="Times New Roman"/>
          <w:sz w:val="24"/>
        </w:rPr>
        <w:t>better educational attainment, suggesting that active engagement in advanced coursework is more critical than simply the number of available courses. In contrast, schools in cluster 4 generally show</w:t>
      </w:r>
      <w:r w:rsidR="008B2C34">
        <w:rPr>
          <w:rFonts w:ascii="Times New Roman" w:hAnsi="Times New Roman" w:cs="Times New Roman"/>
          <w:sz w:val="24"/>
        </w:rPr>
        <w:t>ed</w:t>
      </w:r>
      <w:r w:rsidRPr="00587BC0">
        <w:rPr>
          <w:rFonts w:ascii="Times New Roman" w:hAnsi="Times New Roman" w:cs="Times New Roman"/>
          <w:sz w:val="24"/>
        </w:rPr>
        <w:t xml:space="preserve"> lower values across most advanced course features, except for enrollment in Algebra 2, Biology, and Geometry. However, educational attainment metrics in these schools </w:t>
      </w:r>
      <w:r w:rsidR="008B2C34">
        <w:rPr>
          <w:rFonts w:ascii="Times New Roman" w:hAnsi="Times New Roman" w:cs="Times New Roman"/>
          <w:sz w:val="24"/>
        </w:rPr>
        <w:t>were</w:t>
      </w:r>
      <w:r w:rsidRPr="00587BC0">
        <w:rPr>
          <w:rFonts w:ascii="Times New Roman" w:hAnsi="Times New Roman" w:cs="Times New Roman"/>
          <w:sz w:val="24"/>
        </w:rPr>
        <w:t xml:space="preserve"> relatively low.</w:t>
      </w:r>
    </w:p>
    <w:p w14:paraId="43EDB677" w14:textId="6384407C" w:rsidR="00587001" w:rsidRDefault="00587001" w:rsidP="001B728D">
      <w:pPr>
        <w:spacing w:line="480" w:lineRule="auto"/>
        <w:jc w:val="left"/>
        <w:rPr>
          <w:rFonts w:ascii="Times New Roman" w:hAnsi="Times New Roman" w:cs="Times New Roman"/>
          <w:b/>
          <w:bCs/>
          <w:sz w:val="24"/>
        </w:rPr>
      </w:pPr>
      <w:r w:rsidRPr="00587001">
        <w:rPr>
          <w:rFonts w:ascii="Times New Roman" w:hAnsi="Times New Roman" w:cs="Times New Roman"/>
          <w:b/>
          <w:bCs/>
          <w:sz w:val="24"/>
        </w:rPr>
        <w:t xml:space="preserve">Bubble Plot </w:t>
      </w:r>
    </w:p>
    <w:p w14:paraId="4885C093" w14:textId="265F6115" w:rsidR="006D28FC" w:rsidRDefault="00587001" w:rsidP="001B728D">
      <w:pPr>
        <w:spacing w:line="480" w:lineRule="auto"/>
        <w:jc w:val="left"/>
        <w:rPr>
          <w:rFonts w:ascii="Times New Roman" w:hAnsi="Times New Roman" w:cs="Times New Roman"/>
          <w:sz w:val="24"/>
        </w:rPr>
      </w:pPr>
      <w:r>
        <w:rPr>
          <w:rFonts w:ascii="Times New Roman" w:hAnsi="Times New Roman" w:cs="Times New Roman"/>
          <w:b/>
          <w:bCs/>
          <w:sz w:val="24"/>
        </w:rPr>
        <w:tab/>
      </w:r>
      <w:r w:rsidR="00852228">
        <w:rPr>
          <w:rFonts w:ascii="Times New Roman" w:hAnsi="Times New Roman" w:cs="Times New Roman"/>
          <w:sz w:val="24"/>
        </w:rPr>
        <w:t xml:space="preserve">The bubble plot, </w:t>
      </w:r>
      <w:r w:rsidR="008B2C34">
        <w:rPr>
          <w:rFonts w:ascii="Times New Roman" w:hAnsi="Times New Roman" w:cs="Times New Roman"/>
          <w:sz w:val="24"/>
        </w:rPr>
        <w:t>Figure 2</w:t>
      </w:r>
      <w:r w:rsidR="00852228">
        <w:rPr>
          <w:rFonts w:ascii="Times New Roman" w:hAnsi="Times New Roman" w:cs="Times New Roman"/>
          <w:sz w:val="24"/>
        </w:rPr>
        <w:t>,</w:t>
      </w:r>
      <w:r w:rsidRPr="00587001">
        <w:rPr>
          <w:rFonts w:ascii="Times New Roman" w:hAnsi="Times New Roman" w:cs="Times New Roman"/>
          <w:sz w:val="24"/>
        </w:rPr>
        <w:t xml:space="preserve"> </w:t>
      </w:r>
      <w:r>
        <w:rPr>
          <w:rFonts w:ascii="Times New Roman" w:hAnsi="Times New Roman" w:cs="Times New Roman"/>
          <w:sz w:val="24"/>
        </w:rPr>
        <w:t xml:space="preserve">enabled a closer </w:t>
      </w:r>
      <w:r w:rsidR="008B2C34">
        <w:rPr>
          <w:rFonts w:ascii="Times New Roman" w:hAnsi="Times New Roman" w:cs="Times New Roman"/>
          <w:sz w:val="24"/>
        </w:rPr>
        <w:t>exploration of the relationship</w:t>
      </w:r>
      <w:r>
        <w:rPr>
          <w:rFonts w:ascii="Times New Roman" w:hAnsi="Times New Roman" w:cs="Times New Roman"/>
          <w:sz w:val="24"/>
        </w:rPr>
        <w:t xml:space="preserve"> between enrollment in AP courses and college enrollment. The gray dots, which represent</w:t>
      </w:r>
      <w:r w:rsidR="008B2C34">
        <w:rPr>
          <w:rFonts w:ascii="Times New Roman" w:hAnsi="Times New Roman" w:cs="Times New Roman"/>
          <w:sz w:val="24"/>
        </w:rPr>
        <w:t xml:space="preserve">ed </w:t>
      </w:r>
      <w:r>
        <w:rPr>
          <w:rFonts w:ascii="Times New Roman" w:hAnsi="Times New Roman" w:cs="Times New Roman"/>
          <w:sz w:val="24"/>
        </w:rPr>
        <w:t xml:space="preserve">the schools in clusters with worse postsecondary outcomes, i.e., </w:t>
      </w:r>
      <w:r w:rsidR="008B2C34">
        <w:rPr>
          <w:rFonts w:ascii="Times New Roman" w:hAnsi="Times New Roman" w:cs="Times New Roman"/>
          <w:sz w:val="24"/>
        </w:rPr>
        <w:t>C</w:t>
      </w:r>
      <w:r>
        <w:rPr>
          <w:rFonts w:ascii="Times New Roman" w:hAnsi="Times New Roman" w:cs="Times New Roman"/>
          <w:sz w:val="24"/>
        </w:rPr>
        <w:t xml:space="preserve">luster 2 and </w:t>
      </w:r>
      <w:r w:rsidR="008B2C34">
        <w:rPr>
          <w:rFonts w:ascii="Times New Roman" w:hAnsi="Times New Roman" w:cs="Times New Roman"/>
          <w:sz w:val="24"/>
        </w:rPr>
        <w:t>C</w:t>
      </w:r>
      <w:r>
        <w:rPr>
          <w:rFonts w:ascii="Times New Roman" w:hAnsi="Times New Roman" w:cs="Times New Roman"/>
          <w:sz w:val="24"/>
        </w:rPr>
        <w:t xml:space="preserve">luster 4, </w:t>
      </w:r>
      <w:r w:rsidR="00AD7BC3">
        <w:rPr>
          <w:rFonts w:ascii="Times New Roman" w:hAnsi="Times New Roman" w:cs="Times New Roman"/>
          <w:sz w:val="24"/>
        </w:rPr>
        <w:t>had</w:t>
      </w:r>
      <w:r>
        <w:rPr>
          <w:rFonts w:ascii="Times New Roman" w:hAnsi="Times New Roman" w:cs="Times New Roman"/>
          <w:sz w:val="24"/>
        </w:rPr>
        <w:t xml:space="preserve"> bigger sizes, indicating higher percentage of economically disadvantaged students. Even with more students enrolled in AP course, as shown in the bottom right quadrant, the college enrollment rates in these schools remained lower </w:t>
      </w:r>
      <w:r w:rsidR="002D473E">
        <w:rPr>
          <w:rFonts w:ascii="Times New Roman" w:hAnsi="Times New Roman" w:cs="Times New Roman"/>
          <w:sz w:val="24"/>
        </w:rPr>
        <w:t>than</w:t>
      </w:r>
      <w:r>
        <w:rPr>
          <w:rFonts w:ascii="Times New Roman" w:hAnsi="Times New Roman" w:cs="Times New Roman"/>
          <w:sz w:val="24"/>
        </w:rPr>
        <w:t xml:space="preserve"> schools in </w:t>
      </w:r>
      <w:r w:rsidR="008B2C34">
        <w:rPr>
          <w:rFonts w:ascii="Times New Roman" w:hAnsi="Times New Roman" w:cs="Times New Roman"/>
          <w:sz w:val="24"/>
        </w:rPr>
        <w:t>C</w:t>
      </w:r>
      <w:r>
        <w:rPr>
          <w:rFonts w:ascii="Times New Roman" w:hAnsi="Times New Roman" w:cs="Times New Roman"/>
          <w:sz w:val="24"/>
        </w:rPr>
        <w:t xml:space="preserve">luster 1 and </w:t>
      </w:r>
      <w:r w:rsidR="008B2C34">
        <w:rPr>
          <w:rFonts w:ascii="Times New Roman" w:hAnsi="Times New Roman" w:cs="Times New Roman"/>
          <w:sz w:val="24"/>
        </w:rPr>
        <w:t>C</w:t>
      </w:r>
      <w:r>
        <w:rPr>
          <w:rFonts w:ascii="Times New Roman" w:hAnsi="Times New Roman" w:cs="Times New Roman"/>
          <w:sz w:val="24"/>
        </w:rPr>
        <w:t>luster 3. This demonstrate</w:t>
      </w:r>
      <w:r w:rsidR="008B2C34">
        <w:rPr>
          <w:rFonts w:ascii="Times New Roman" w:hAnsi="Times New Roman" w:cs="Times New Roman"/>
          <w:sz w:val="24"/>
        </w:rPr>
        <w:t>d</w:t>
      </w:r>
      <w:r>
        <w:rPr>
          <w:rFonts w:ascii="Times New Roman" w:hAnsi="Times New Roman" w:cs="Times New Roman"/>
          <w:sz w:val="24"/>
        </w:rPr>
        <w:t xml:space="preserve"> that </w:t>
      </w:r>
      <w:r w:rsidR="00754B26">
        <w:rPr>
          <w:rFonts w:ascii="Times New Roman" w:hAnsi="Times New Roman" w:cs="Times New Roman"/>
          <w:sz w:val="24"/>
        </w:rPr>
        <w:t>e</w:t>
      </w:r>
      <w:r w:rsidR="00754B26" w:rsidRPr="00754B26">
        <w:rPr>
          <w:rFonts w:ascii="Times New Roman" w:hAnsi="Times New Roman" w:cs="Times New Roman"/>
          <w:sz w:val="24"/>
        </w:rPr>
        <w:t xml:space="preserve">conomic disadvantages </w:t>
      </w:r>
      <w:r w:rsidR="008B2C34">
        <w:rPr>
          <w:rFonts w:ascii="Times New Roman" w:hAnsi="Times New Roman" w:cs="Times New Roman"/>
          <w:sz w:val="24"/>
        </w:rPr>
        <w:t>created some</w:t>
      </w:r>
      <w:r w:rsidR="00754B26">
        <w:rPr>
          <w:rFonts w:ascii="Times New Roman" w:hAnsi="Times New Roman" w:cs="Times New Roman"/>
          <w:sz w:val="24"/>
        </w:rPr>
        <w:t xml:space="preserve"> obstacles for</w:t>
      </w:r>
      <w:r w:rsidR="00754B26" w:rsidRPr="00754B26">
        <w:rPr>
          <w:rFonts w:ascii="Times New Roman" w:hAnsi="Times New Roman" w:cs="Times New Roman"/>
          <w:sz w:val="24"/>
        </w:rPr>
        <w:t xml:space="preserve"> college enrollment, even when opportunities for advanced coursework like AP classes </w:t>
      </w:r>
      <w:r w:rsidR="008B2C34">
        <w:rPr>
          <w:rFonts w:ascii="Times New Roman" w:hAnsi="Times New Roman" w:cs="Times New Roman"/>
          <w:sz w:val="24"/>
        </w:rPr>
        <w:t>were</w:t>
      </w:r>
      <w:r w:rsidR="00754B26" w:rsidRPr="00754B26">
        <w:rPr>
          <w:rFonts w:ascii="Times New Roman" w:hAnsi="Times New Roman" w:cs="Times New Roman"/>
          <w:sz w:val="24"/>
        </w:rPr>
        <w:t xml:space="preserve"> made available</w:t>
      </w:r>
      <w:r w:rsidR="00754B26">
        <w:rPr>
          <w:rFonts w:ascii="Times New Roman" w:hAnsi="Times New Roman" w:cs="Times New Roman"/>
          <w:sz w:val="24"/>
        </w:rPr>
        <w:t xml:space="preserve"> and accessible</w:t>
      </w:r>
      <w:r w:rsidR="00754B26" w:rsidRPr="00754B26">
        <w:rPr>
          <w:rFonts w:ascii="Times New Roman" w:hAnsi="Times New Roman" w:cs="Times New Roman"/>
          <w:sz w:val="24"/>
        </w:rPr>
        <w:t>. The data highlight</w:t>
      </w:r>
      <w:r w:rsidR="008B2C34">
        <w:rPr>
          <w:rFonts w:ascii="Times New Roman" w:hAnsi="Times New Roman" w:cs="Times New Roman"/>
          <w:sz w:val="24"/>
        </w:rPr>
        <w:t xml:space="preserve">ed </w:t>
      </w:r>
      <w:r w:rsidR="00754B26" w:rsidRPr="00754B26">
        <w:rPr>
          <w:rFonts w:ascii="Times New Roman" w:hAnsi="Times New Roman" w:cs="Times New Roman"/>
          <w:sz w:val="24"/>
        </w:rPr>
        <w:t>the persistent barriers faced by economically disadvantaged students in translating academic opportunities into postsecondary success.</w:t>
      </w:r>
      <w:r w:rsidR="00754B26">
        <w:rPr>
          <w:rFonts w:ascii="Times New Roman" w:hAnsi="Times New Roman" w:cs="Times New Roman"/>
          <w:sz w:val="24"/>
        </w:rPr>
        <w:t xml:space="preserve"> </w:t>
      </w:r>
    </w:p>
    <w:p w14:paraId="3E5BC859" w14:textId="78162299" w:rsidR="006D28FC" w:rsidRDefault="006D28FC" w:rsidP="001B728D">
      <w:pPr>
        <w:spacing w:line="480" w:lineRule="auto"/>
        <w:ind w:firstLine="720"/>
        <w:jc w:val="left"/>
        <w:rPr>
          <w:rFonts w:ascii="Times New Roman" w:hAnsi="Times New Roman" w:cs="Times New Roman"/>
          <w:sz w:val="24"/>
        </w:rPr>
      </w:pPr>
      <w:r w:rsidRPr="006D28FC">
        <w:rPr>
          <w:rFonts w:ascii="Times New Roman" w:hAnsi="Times New Roman" w:cs="Times New Roman"/>
          <w:sz w:val="24"/>
        </w:rPr>
        <w:t xml:space="preserve">However, some schools in Cluster 1 and Cluster 3, such as Henderson Collegiate, Triad </w:t>
      </w:r>
      <w:r w:rsidRPr="006D28FC">
        <w:rPr>
          <w:rFonts w:ascii="Times New Roman" w:hAnsi="Times New Roman" w:cs="Times New Roman"/>
          <w:sz w:val="24"/>
        </w:rPr>
        <w:lastRenderedPageBreak/>
        <w:t xml:space="preserve">Math and Science Academy, and City of Medicine Academy, </w:t>
      </w:r>
      <w:r w:rsidR="008B2C34">
        <w:rPr>
          <w:rFonts w:ascii="Times New Roman" w:hAnsi="Times New Roman" w:cs="Times New Roman"/>
          <w:sz w:val="24"/>
        </w:rPr>
        <w:t>had</w:t>
      </w:r>
      <w:r w:rsidRPr="006D28FC">
        <w:rPr>
          <w:rFonts w:ascii="Times New Roman" w:hAnsi="Times New Roman" w:cs="Times New Roman"/>
          <w:sz w:val="24"/>
        </w:rPr>
        <w:t xml:space="preserve"> </w:t>
      </w:r>
      <w:r w:rsidR="008B2C34">
        <w:rPr>
          <w:rFonts w:ascii="Times New Roman" w:hAnsi="Times New Roman" w:cs="Times New Roman"/>
          <w:sz w:val="24"/>
        </w:rPr>
        <w:t>higher</w:t>
      </w:r>
      <w:r>
        <w:rPr>
          <w:rFonts w:ascii="Times New Roman" w:hAnsi="Times New Roman" w:cs="Times New Roman"/>
          <w:sz w:val="24"/>
        </w:rPr>
        <w:t xml:space="preserve"> </w:t>
      </w:r>
      <w:r w:rsidRPr="006D28FC">
        <w:rPr>
          <w:rFonts w:ascii="Times New Roman" w:hAnsi="Times New Roman" w:cs="Times New Roman"/>
          <w:sz w:val="24"/>
        </w:rPr>
        <w:t>economically disadvantaged students but</w:t>
      </w:r>
      <w:r w:rsidR="008B2C34">
        <w:rPr>
          <w:rFonts w:ascii="Times New Roman" w:hAnsi="Times New Roman" w:cs="Times New Roman"/>
          <w:sz w:val="24"/>
        </w:rPr>
        <w:t xml:space="preserve"> still</w:t>
      </w:r>
      <w:r w:rsidRPr="006D28FC">
        <w:rPr>
          <w:rFonts w:ascii="Times New Roman" w:hAnsi="Times New Roman" w:cs="Times New Roman"/>
          <w:sz w:val="24"/>
        </w:rPr>
        <w:t xml:space="preserve"> exhibit</w:t>
      </w:r>
      <w:r w:rsidR="008B2C34">
        <w:rPr>
          <w:rFonts w:ascii="Times New Roman" w:hAnsi="Times New Roman" w:cs="Times New Roman"/>
          <w:sz w:val="24"/>
        </w:rPr>
        <w:t xml:space="preserve">ed </w:t>
      </w:r>
      <w:r w:rsidRPr="006D28FC">
        <w:rPr>
          <w:rFonts w:ascii="Times New Roman" w:hAnsi="Times New Roman" w:cs="Times New Roman"/>
          <w:sz w:val="24"/>
        </w:rPr>
        <w:t>better postsecondary attainment, regardless of their students’ exposure to advanced coursework like AP courses. This observation suggest</w:t>
      </w:r>
      <w:r w:rsidR="008B2C34">
        <w:rPr>
          <w:rFonts w:ascii="Times New Roman" w:hAnsi="Times New Roman" w:cs="Times New Roman"/>
          <w:sz w:val="24"/>
        </w:rPr>
        <w:t>ed</w:t>
      </w:r>
      <w:r w:rsidRPr="006D28FC">
        <w:rPr>
          <w:rFonts w:ascii="Times New Roman" w:hAnsi="Times New Roman" w:cs="Times New Roman"/>
          <w:sz w:val="24"/>
        </w:rPr>
        <w:t xml:space="preserve"> that differences in outcomes may be associated with additional factors, such as institutional practices or support systems, that contribute</w:t>
      </w:r>
      <w:r w:rsidR="008B2C34">
        <w:rPr>
          <w:rFonts w:ascii="Times New Roman" w:hAnsi="Times New Roman" w:cs="Times New Roman"/>
          <w:sz w:val="24"/>
        </w:rPr>
        <w:t>d</w:t>
      </w:r>
      <w:r w:rsidRPr="006D28FC">
        <w:rPr>
          <w:rFonts w:ascii="Times New Roman" w:hAnsi="Times New Roman" w:cs="Times New Roman"/>
          <w:sz w:val="24"/>
        </w:rPr>
        <w:t xml:space="preserve"> to higher levels of success for economically disadvantaged students.</w:t>
      </w:r>
    </w:p>
    <w:p w14:paraId="601AE983" w14:textId="00725CB9" w:rsidR="00587BC0" w:rsidRDefault="00587BC0" w:rsidP="001B728D">
      <w:pPr>
        <w:spacing w:line="480" w:lineRule="auto"/>
        <w:jc w:val="center"/>
        <w:rPr>
          <w:rFonts w:ascii="Times New Roman" w:hAnsi="Times New Roman" w:cs="Times New Roman"/>
          <w:b/>
          <w:bCs/>
          <w:sz w:val="24"/>
        </w:rPr>
      </w:pPr>
      <w:r>
        <w:rPr>
          <w:rFonts w:ascii="Times New Roman" w:hAnsi="Times New Roman" w:cs="Times New Roman"/>
          <w:b/>
          <w:bCs/>
          <w:sz w:val="24"/>
        </w:rPr>
        <w:t>Discussion</w:t>
      </w:r>
    </w:p>
    <w:p w14:paraId="5DF188B6" w14:textId="0483AE42" w:rsidR="00AD525E" w:rsidRPr="00AD525E" w:rsidRDefault="00AD525E" w:rsidP="001B728D">
      <w:pPr>
        <w:spacing w:line="480" w:lineRule="auto"/>
        <w:jc w:val="left"/>
        <w:rPr>
          <w:rFonts w:ascii="Times New Roman" w:hAnsi="Times New Roman" w:cs="Times New Roman"/>
          <w:i/>
          <w:iCs/>
          <w:sz w:val="24"/>
        </w:rPr>
      </w:pPr>
      <w:r>
        <w:rPr>
          <w:rFonts w:ascii="Times New Roman" w:hAnsi="Times New Roman" w:cs="Times New Roman"/>
          <w:sz w:val="24"/>
        </w:rPr>
        <w:tab/>
      </w:r>
      <w:r w:rsidRPr="00AD525E">
        <w:rPr>
          <w:rFonts w:ascii="Times New Roman" w:hAnsi="Times New Roman" w:cs="Times New Roman"/>
          <w:sz w:val="24"/>
        </w:rPr>
        <w:t xml:space="preserve">Through HCA, this study identified four distinct clusters of schools, each exhibiting unique configurations of advanced course offerings, enrollment in advanced coursework, and educational attainment. </w:t>
      </w:r>
      <w:r w:rsidR="005A0D7B">
        <w:rPr>
          <w:rFonts w:ascii="Times New Roman" w:hAnsi="Times New Roman" w:cs="Times New Roman"/>
          <w:sz w:val="24"/>
        </w:rPr>
        <w:t>The</w:t>
      </w:r>
      <w:r w:rsidRPr="00AD525E">
        <w:rPr>
          <w:rFonts w:ascii="Times New Roman" w:hAnsi="Times New Roman" w:cs="Times New Roman"/>
          <w:sz w:val="24"/>
        </w:rPr>
        <w:t xml:space="preserve"> </w:t>
      </w:r>
      <w:proofErr w:type="spellStart"/>
      <w:r w:rsidRPr="00AD525E">
        <w:rPr>
          <w:rFonts w:ascii="Times New Roman" w:hAnsi="Times New Roman" w:cs="Times New Roman"/>
          <w:sz w:val="24"/>
        </w:rPr>
        <w:t>clustergram</w:t>
      </w:r>
      <w:proofErr w:type="spellEnd"/>
      <w:r w:rsidRPr="00AD525E">
        <w:rPr>
          <w:rFonts w:ascii="Times New Roman" w:hAnsi="Times New Roman" w:cs="Times New Roman"/>
          <w:sz w:val="24"/>
        </w:rPr>
        <w:t xml:space="preserve"> (Figure 1</w:t>
      </w:r>
      <w:r w:rsidR="005A0D7B">
        <w:rPr>
          <w:rFonts w:ascii="Times New Roman" w:hAnsi="Times New Roman" w:cs="Times New Roman"/>
          <w:sz w:val="24"/>
        </w:rPr>
        <w:t>) show</w:t>
      </w:r>
      <w:r w:rsidR="008B2C34">
        <w:rPr>
          <w:rFonts w:ascii="Times New Roman" w:hAnsi="Times New Roman" w:cs="Times New Roman"/>
          <w:sz w:val="24"/>
        </w:rPr>
        <w:t>ed</w:t>
      </w:r>
      <w:r>
        <w:rPr>
          <w:rFonts w:ascii="Times New Roman" w:hAnsi="Times New Roman" w:cs="Times New Roman"/>
          <w:sz w:val="24"/>
        </w:rPr>
        <w:t xml:space="preserve"> that </w:t>
      </w:r>
      <w:r w:rsidR="008B2C34">
        <w:rPr>
          <w:rFonts w:ascii="Times New Roman" w:hAnsi="Times New Roman" w:cs="Times New Roman"/>
          <w:sz w:val="24"/>
        </w:rPr>
        <w:t>C</w:t>
      </w:r>
      <w:r>
        <w:rPr>
          <w:rFonts w:ascii="Times New Roman" w:hAnsi="Times New Roman" w:cs="Times New Roman"/>
          <w:sz w:val="24"/>
        </w:rPr>
        <w:t>luster 1 ha</w:t>
      </w:r>
      <w:r w:rsidR="008B2C34">
        <w:rPr>
          <w:rFonts w:ascii="Times New Roman" w:hAnsi="Times New Roman" w:cs="Times New Roman"/>
          <w:sz w:val="24"/>
        </w:rPr>
        <w:t>d</w:t>
      </w:r>
      <w:r>
        <w:rPr>
          <w:rFonts w:ascii="Times New Roman" w:hAnsi="Times New Roman" w:cs="Times New Roman"/>
          <w:sz w:val="24"/>
        </w:rPr>
        <w:t xml:space="preserve"> high values in advanced coursework variables and high values in educational attainment features (High-High), and cluster 2, 3, </w:t>
      </w:r>
      <w:r w:rsidR="005A0D7B">
        <w:rPr>
          <w:rFonts w:ascii="Times New Roman" w:hAnsi="Times New Roman" w:cs="Times New Roman"/>
          <w:sz w:val="24"/>
        </w:rPr>
        <w:t xml:space="preserve">and </w:t>
      </w:r>
      <w:r>
        <w:rPr>
          <w:rFonts w:ascii="Times New Roman" w:hAnsi="Times New Roman" w:cs="Times New Roman"/>
          <w:sz w:val="24"/>
        </w:rPr>
        <w:t>4 can be respectively characterized as High-Low, Low-High, and Low-Low. These patterns provide</w:t>
      </w:r>
      <w:r w:rsidR="008B2C34">
        <w:rPr>
          <w:rFonts w:ascii="Times New Roman" w:hAnsi="Times New Roman" w:cs="Times New Roman"/>
          <w:sz w:val="24"/>
        </w:rPr>
        <w:t>d</w:t>
      </w:r>
      <w:r>
        <w:rPr>
          <w:rFonts w:ascii="Times New Roman" w:hAnsi="Times New Roman" w:cs="Times New Roman"/>
          <w:sz w:val="24"/>
        </w:rPr>
        <w:t xml:space="preserve"> invaluable insights into the relationship between rigorous coursework and student success after high school</w:t>
      </w:r>
      <w:r w:rsidR="005A0D7B">
        <w:rPr>
          <w:rFonts w:ascii="Times New Roman" w:hAnsi="Times New Roman" w:cs="Times New Roman"/>
          <w:sz w:val="24"/>
        </w:rPr>
        <w:t xml:space="preserve"> and how structural barriers, like </w:t>
      </w:r>
      <w:r w:rsidR="008B2C34">
        <w:rPr>
          <w:rFonts w:ascii="Times New Roman" w:hAnsi="Times New Roman" w:cs="Times New Roman"/>
          <w:sz w:val="24"/>
        </w:rPr>
        <w:t>economic disadvantage</w:t>
      </w:r>
      <w:r w:rsidR="005A0D7B">
        <w:rPr>
          <w:rFonts w:ascii="Times New Roman" w:hAnsi="Times New Roman" w:cs="Times New Roman"/>
          <w:sz w:val="24"/>
        </w:rPr>
        <w:t>, play</w:t>
      </w:r>
      <w:r w:rsidR="008B2C34">
        <w:rPr>
          <w:rFonts w:ascii="Times New Roman" w:hAnsi="Times New Roman" w:cs="Times New Roman"/>
          <w:sz w:val="24"/>
        </w:rPr>
        <w:t>ed</w:t>
      </w:r>
      <w:r w:rsidR="005A0D7B">
        <w:rPr>
          <w:rFonts w:ascii="Times New Roman" w:hAnsi="Times New Roman" w:cs="Times New Roman"/>
          <w:sz w:val="24"/>
        </w:rPr>
        <w:t xml:space="preserve"> a role in this relationship. </w:t>
      </w:r>
    </w:p>
    <w:p w14:paraId="40F3A49D" w14:textId="1ACE79FD" w:rsidR="00B47FD4" w:rsidRDefault="00B47FD4" w:rsidP="001B728D">
      <w:pPr>
        <w:spacing w:line="480" w:lineRule="auto"/>
        <w:jc w:val="left"/>
        <w:rPr>
          <w:rFonts w:ascii="Times New Roman" w:hAnsi="Times New Roman" w:cs="Times New Roman"/>
          <w:b/>
          <w:bCs/>
          <w:sz w:val="24"/>
        </w:rPr>
      </w:pPr>
      <w:r w:rsidRPr="00B47FD4">
        <w:rPr>
          <w:rFonts w:ascii="Times New Roman" w:hAnsi="Times New Roman" w:cs="Times New Roman"/>
          <w:b/>
          <w:bCs/>
          <w:sz w:val="24"/>
        </w:rPr>
        <w:t>Findings and Implications</w:t>
      </w:r>
    </w:p>
    <w:p w14:paraId="0E6A385C" w14:textId="0E4BE696" w:rsidR="000E359B" w:rsidRDefault="000E359B" w:rsidP="001B728D">
      <w:pPr>
        <w:spacing w:line="480" w:lineRule="auto"/>
        <w:ind w:firstLine="360"/>
        <w:jc w:val="left"/>
        <w:rPr>
          <w:rFonts w:ascii="Times New Roman" w:hAnsi="Times New Roman" w:cs="Times New Roman"/>
          <w:sz w:val="24"/>
        </w:rPr>
      </w:pPr>
      <w:r w:rsidRPr="000E359B">
        <w:rPr>
          <w:rFonts w:ascii="Times New Roman" w:hAnsi="Times New Roman" w:cs="Times New Roman"/>
          <w:sz w:val="24"/>
        </w:rPr>
        <w:t xml:space="preserve">Across all clusters, course availability, </w:t>
      </w:r>
      <w:r>
        <w:rPr>
          <w:rFonts w:ascii="Times New Roman" w:hAnsi="Times New Roman" w:cs="Times New Roman"/>
          <w:sz w:val="24"/>
        </w:rPr>
        <w:t xml:space="preserve">i.e., </w:t>
      </w:r>
      <w:r w:rsidRPr="000E359B">
        <w:rPr>
          <w:rFonts w:ascii="Times New Roman" w:hAnsi="Times New Roman" w:cs="Times New Roman"/>
          <w:sz w:val="24"/>
        </w:rPr>
        <w:t xml:space="preserve">the number of STEM courses, </w:t>
      </w:r>
      <w:r w:rsidR="008B2C34">
        <w:rPr>
          <w:rFonts w:ascii="Times New Roman" w:hAnsi="Times New Roman" w:cs="Times New Roman"/>
          <w:sz w:val="24"/>
        </w:rPr>
        <w:t>did</w:t>
      </w:r>
      <w:r w:rsidRPr="000E359B">
        <w:rPr>
          <w:rFonts w:ascii="Times New Roman" w:hAnsi="Times New Roman" w:cs="Times New Roman"/>
          <w:sz w:val="24"/>
        </w:rPr>
        <w:t xml:space="preserve"> not appear to correlate with students’ postsecondary attainment. For instance, while schools in Cluster 2 offer</w:t>
      </w:r>
      <w:r w:rsidR="008B2C34">
        <w:rPr>
          <w:rFonts w:ascii="Times New Roman" w:hAnsi="Times New Roman" w:cs="Times New Roman"/>
          <w:sz w:val="24"/>
        </w:rPr>
        <w:t xml:space="preserve">ed </w:t>
      </w:r>
      <w:r w:rsidRPr="000E359B">
        <w:rPr>
          <w:rFonts w:ascii="Times New Roman" w:hAnsi="Times New Roman" w:cs="Times New Roman"/>
          <w:sz w:val="24"/>
        </w:rPr>
        <w:t>an abundance of courses, they exhibit</w:t>
      </w:r>
      <w:r w:rsidR="008B2C34">
        <w:rPr>
          <w:rFonts w:ascii="Times New Roman" w:hAnsi="Times New Roman" w:cs="Times New Roman"/>
          <w:sz w:val="24"/>
        </w:rPr>
        <w:t>ed</w:t>
      </w:r>
      <w:r w:rsidRPr="000E359B">
        <w:rPr>
          <w:rFonts w:ascii="Times New Roman" w:hAnsi="Times New Roman" w:cs="Times New Roman"/>
          <w:sz w:val="24"/>
        </w:rPr>
        <w:t xml:space="preserve"> two distinct patterns: </w:t>
      </w:r>
      <w:r w:rsidR="008B2C34">
        <w:rPr>
          <w:rFonts w:ascii="Times New Roman" w:hAnsi="Times New Roman" w:cs="Times New Roman"/>
          <w:sz w:val="24"/>
        </w:rPr>
        <w:t>T</w:t>
      </w:r>
      <w:r w:rsidRPr="000E359B">
        <w:rPr>
          <w:rFonts w:ascii="Times New Roman" w:hAnsi="Times New Roman" w:cs="Times New Roman"/>
          <w:sz w:val="24"/>
        </w:rPr>
        <w:t>he top segment ha</w:t>
      </w:r>
      <w:r w:rsidR="008B2C34">
        <w:rPr>
          <w:rFonts w:ascii="Times New Roman" w:hAnsi="Times New Roman" w:cs="Times New Roman"/>
          <w:sz w:val="24"/>
        </w:rPr>
        <w:t>d</w:t>
      </w:r>
      <w:r w:rsidRPr="000E359B">
        <w:rPr>
          <w:rFonts w:ascii="Times New Roman" w:hAnsi="Times New Roman" w:cs="Times New Roman"/>
          <w:sz w:val="24"/>
        </w:rPr>
        <w:t xml:space="preserve"> lower advanced course enrollment and postsecondary attainment, whereas the bottom segment show</w:t>
      </w:r>
      <w:r w:rsidR="008B2C34">
        <w:rPr>
          <w:rFonts w:ascii="Times New Roman" w:hAnsi="Times New Roman" w:cs="Times New Roman"/>
          <w:sz w:val="24"/>
        </w:rPr>
        <w:t>ed</w:t>
      </w:r>
      <w:r w:rsidRPr="000E359B">
        <w:rPr>
          <w:rFonts w:ascii="Times New Roman" w:hAnsi="Times New Roman" w:cs="Times New Roman"/>
          <w:sz w:val="24"/>
        </w:rPr>
        <w:t xml:space="preserve"> higher values. This indicate</w:t>
      </w:r>
      <w:r w:rsidR="008B2C34">
        <w:rPr>
          <w:rFonts w:ascii="Times New Roman" w:hAnsi="Times New Roman" w:cs="Times New Roman"/>
          <w:sz w:val="24"/>
        </w:rPr>
        <w:t>d</w:t>
      </w:r>
      <w:r w:rsidRPr="000E359B">
        <w:rPr>
          <w:rFonts w:ascii="Times New Roman" w:hAnsi="Times New Roman" w:cs="Times New Roman"/>
          <w:sz w:val="24"/>
        </w:rPr>
        <w:t xml:space="preserve"> that offering courses alone does not ensure participation, consistent with previous research suggesting that students may not engage in advanced coursework even when it is available, thereby failing to achieve the scores necessary for postsecondary success </w:t>
      </w:r>
      <w:r w:rsidRPr="000E359B">
        <w:rPr>
          <w:rFonts w:ascii="Times New Roman" w:hAnsi="Times New Roman" w:cs="Times New Roman"/>
          <w:sz w:val="24"/>
        </w:rPr>
        <w:lastRenderedPageBreak/>
        <w:t>(</w:t>
      </w:r>
      <w:proofErr w:type="spellStart"/>
      <w:r w:rsidRPr="000E359B">
        <w:rPr>
          <w:rFonts w:ascii="Times New Roman" w:hAnsi="Times New Roman" w:cs="Times New Roman"/>
          <w:sz w:val="24"/>
        </w:rPr>
        <w:t>Handwerk</w:t>
      </w:r>
      <w:proofErr w:type="spellEnd"/>
      <w:r w:rsidRPr="000E359B">
        <w:rPr>
          <w:rFonts w:ascii="Times New Roman" w:hAnsi="Times New Roman" w:cs="Times New Roman"/>
          <w:sz w:val="24"/>
        </w:rPr>
        <w:t xml:space="preserve"> et al., 2008). Notably, schools in the top segment of Cluster 2 </w:t>
      </w:r>
      <w:r w:rsidR="008B2C34">
        <w:rPr>
          <w:rFonts w:ascii="Times New Roman" w:hAnsi="Times New Roman" w:cs="Times New Roman"/>
          <w:sz w:val="24"/>
        </w:rPr>
        <w:t>had</w:t>
      </w:r>
      <w:r w:rsidRPr="000E359B">
        <w:rPr>
          <w:rFonts w:ascii="Times New Roman" w:hAnsi="Times New Roman" w:cs="Times New Roman"/>
          <w:sz w:val="24"/>
        </w:rPr>
        <w:t xml:space="preserve"> a higher percentage of economically disadvantaged students</w:t>
      </w:r>
      <w:r>
        <w:rPr>
          <w:rFonts w:ascii="Times New Roman" w:hAnsi="Times New Roman" w:cs="Times New Roman"/>
          <w:sz w:val="24"/>
        </w:rPr>
        <w:t>, which replicate</w:t>
      </w:r>
      <w:r w:rsidR="008B2C34">
        <w:rPr>
          <w:rFonts w:ascii="Times New Roman" w:hAnsi="Times New Roman" w:cs="Times New Roman"/>
          <w:sz w:val="24"/>
        </w:rPr>
        <w:t>d</w:t>
      </w:r>
      <w:r>
        <w:rPr>
          <w:rFonts w:ascii="Times New Roman" w:hAnsi="Times New Roman" w:cs="Times New Roman"/>
          <w:sz w:val="24"/>
        </w:rPr>
        <w:t xml:space="preserve"> the previous findings that </w:t>
      </w:r>
      <w:r w:rsidRPr="000E359B">
        <w:rPr>
          <w:rFonts w:ascii="Times New Roman" w:hAnsi="Times New Roman" w:cs="Times New Roman"/>
          <w:sz w:val="24"/>
        </w:rPr>
        <w:t xml:space="preserve">schools with predominantly </w:t>
      </w:r>
      <w:r w:rsidR="00A97B34">
        <w:rPr>
          <w:rFonts w:ascii="Times New Roman" w:hAnsi="Times New Roman" w:cs="Times New Roman"/>
          <w:sz w:val="24"/>
        </w:rPr>
        <w:t>disadvantaged</w:t>
      </w:r>
      <w:r w:rsidRPr="000E359B">
        <w:rPr>
          <w:rFonts w:ascii="Times New Roman" w:hAnsi="Times New Roman" w:cs="Times New Roman"/>
          <w:sz w:val="24"/>
        </w:rPr>
        <w:t xml:space="preserve"> populations tend to enroll fewer students in advanced courses</w:t>
      </w:r>
      <w:r>
        <w:rPr>
          <w:rFonts w:ascii="Times New Roman" w:hAnsi="Times New Roman" w:cs="Times New Roman"/>
          <w:sz w:val="24"/>
        </w:rPr>
        <w:t xml:space="preserve"> (Patrick et al., 2020). </w:t>
      </w:r>
    </w:p>
    <w:p w14:paraId="59479D74" w14:textId="089E6CC6" w:rsidR="00AD525E" w:rsidRDefault="00FA7A26" w:rsidP="001B728D">
      <w:pPr>
        <w:spacing w:line="480" w:lineRule="auto"/>
        <w:ind w:firstLine="360"/>
        <w:jc w:val="left"/>
        <w:rPr>
          <w:rFonts w:ascii="Times New Roman" w:hAnsi="Times New Roman" w:cs="Times New Roman"/>
          <w:sz w:val="24"/>
        </w:rPr>
      </w:pPr>
      <w:r>
        <w:rPr>
          <w:rFonts w:ascii="Times New Roman" w:hAnsi="Times New Roman" w:cs="Times New Roman"/>
          <w:sz w:val="24"/>
        </w:rPr>
        <w:t xml:space="preserve">What </w:t>
      </w:r>
      <w:r w:rsidR="000E359B" w:rsidRPr="000E359B">
        <w:rPr>
          <w:rFonts w:ascii="Times New Roman" w:hAnsi="Times New Roman" w:cs="Times New Roman"/>
          <w:sz w:val="24"/>
        </w:rPr>
        <w:t>ultimately</w:t>
      </w:r>
      <w:r w:rsidR="000E359B">
        <w:rPr>
          <w:rFonts w:ascii="Times New Roman" w:hAnsi="Times New Roman" w:cs="Times New Roman"/>
          <w:sz w:val="24"/>
        </w:rPr>
        <w:t xml:space="preserve"> </w:t>
      </w:r>
      <w:r>
        <w:rPr>
          <w:rFonts w:ascii="Times New Roman" w:hAnsi="Times New Roman" w:cs="Times New Roman"/>
          <w:sz w:val="24"/>
        </w:rPr>
        <w:t xml:space="preserve">matters more for students’ postsecondary outcomes </w:t>
      </w:r>
      <w:r w:rsidR="008B2C34">
        <w:rPr>
          <w:rFonts w:ascii="Times New Roman" w:hAnsi="Times New Roman" w:cs="Times New Roman"/>
          <w:sz w:val="24"/>
        </w:rPr>
        <w:t>was</w:t>
      </w:r>
      <w:r>
        <w:rPr>
          <w:rFonts w:ascii="Times New Roman" w:hAnsi="Times New Roman" w:cs="Times New Roman"/>
          <w:sz w:val="24"/>
        </w:rPr>
        <w:t xml:space="preserve"> their participation </w:t>
      </w:r>
      <w:r w:rsidR="002D473E">
        <w:rPr>
          <w:rFonts w:ascii="Times New Roman" w:hAnsi="Times New Roman" w:cs="Times New Roman"/>
          <w:sz w:val="24"/>
        </w:rPr>
        <w:t xml:space="preserve">in </w:t>
      </w:r>
      <w:r>
        <w:rPr>
          <w:rFonts w:ascii="Times New Roman" w:hAnsi="Times New Roman" w:cs="Times New Roman"/>
          <w:sz w:val="24"/>
        </w:rPr>
        <w:t xml:space="preserve">those rigorous courses. </w:t>
      </w:r>
      <w:r w:rsidR="00BC03C3" w:rsidRPr="00BC03C3">
        <w:rPr>
          <w:rFonts w:ascii="Times New Roman" w:hAnsi="Times New Roman" w:cs="Times New Roman"/>
          <w:sz w:val="24"/>
        </w:rPr>
        <w:t>Schools in Clusters 1 and 2 demonstrate</w:t>
      </w:r>
      <w:r w:rsidR="008B2C34">
        <w:rPr>
          <w:rFonts w:ascii="Times New Roman" w:hAnsi="Times New Roman" w:cs="Times New Roman"/>
          <w:sz w:val="24"/>
        </w:rPr>
        <w:t>d</w:t>
      </w:r>
      <w:r w:rsidR="00BC03C3" w:rsidRPr="00BC03C3">
        <w:rPr>
          <w:rFonts w:ascii="Times New Roman" w:hAnsi="Times New Roman" w:cs="Times New Roman"/>
          <w:sz w:val="24"/>
        </w:rPr>
        <w:t xml:space="preserve"> higher enrollment rates in advanced coursework, highlighting that addressing disparities in access remain</w:t>
      </w:r>
      <w:r w:rsidR="008B2C34">
        <w:rPr>
          <w:rFonts w:ascii="Times New Roman" w:hAnsi="Times New Roman" w:cs="Times New Roman"/>
          <w:sz w:val="24"/>
        </w:rPr>
        <w:t>ed</w:t>
      </w:r>
      <w:r w:rsidR="00BC03C3" w:rsidRPr="00BC03C3">
        <w:rPr>
          <w:rFonts w:ascii="Times New Roman" w:hAnsi="Times New Roman" w:cs="Times New Roman"/>
          <w:sz w:val="24"/>
        </w:rPr>
        <w:t xml:space="preserve"> a critical area for improvement (Darling-Hammond, 2010; DeSantis, 2012). However, accessibility alone d</w:t>
      </w:r>
      <w:r w:rsidR="008B2C34">
        <w:rPr>
          <w:rFonts w:ascii="Times New Roman" w:hAnsi="Times New Roman" w:cs="Times New Roman"/>
          <w:sz w:val="24"/>
        </w:rPr>
        <w:t xml:space="preserve">id </w:t>
      </w:r>
      <w:r w:rsidR="00BC03C3" w:rsidRPr="00BC03C3">
        <w:rPr>
          <w:rFonts w:ascii="Times New Roman" w:hAnsi="Times New Roman" w:cs="Times New Roman"/>
          <w:sz w:val="24"/>
        </w:rPr>
        <w:t xml:space="preserve">not fully explain postsecondary outcomes. For example, while both Cluster 3 and Cluster 4 </w:t>
      </w:r>
      <w:r w:rsidR="008B2C34">
        <w:rPr>
          <w:rFonts w:ascii="Times New Roman" w:hAnsi="Times New Roman" w:cs="Times New Roman"/>
          <w:sz w:val="24"/>
        </w:rPr>
        <w:t>had</w:t>
      </w:r>
      <w:r w:rsidR="00BC03C3" w:rsidRPr="00BC03C3">
        <w:rPr>
          <w:rFonts w:ascii="Times New Roman" w:hAnsi="Times New Roman" w:cs="Times New Roman"/>
          <w:sz w:val="24"/>
        </w:rPr>
        <w:t xml:space="preserve"> lower enrollment rates in advanced coursework, schools in Cluster 3 achieve</w:t>
      </w:r>
      <w:r w:rsidR="008B2C34">
        <w:rPr>
          <w:rFonts w:ascii="Times New Roman" w:hAnsi="Times New Roman" w:cs="Times New Roman"/>
          <w:sz w:val="24"/>
        </w:rPr>
        <w:t>d</w:t>
      </w:r>
      <w:r w:rsidR="00BC03C3" w:rsidRPr="00BC03C3">
        <w:rPr>
          <w:rFonts w:ascii="Times New Roman" w:hAnsi="Times New Roman" w:cs="Times New Roman"/>
          <w:sz w:val="24"/>
        </w:rPr>
        <w:t xml:space="preserve"> higher educational attainment. This disparity suggest</w:t>
      </w:r>
      <w:r w:rsidR="008B2C34">
        <w:rPr>
          <w:rFonts w:ascii="Times New Roman" w:hAnsi="Times New Roman" w:cs="Times New Roman"/>
          <w:sz w:val="24"/>
        </w:rPr>
        <w:t>ed</w:t>
      </w:r>
      <w:r w:rsidR="00BC03C3" w:rsidRPr="00BC03C3">
        <w:rPr>
          <w:rFonts w:ascii="Times New Roman" w:hAnsi="Times New Roman" w:cs="Times New Roman"/>
          <w:sz w:val="24"/>
        </w:rPr>
        <w:t xml:space="preserve"> that simply making advanced courses available and accessible is necessary but insufficient; students’ postsecondary success </w:t>
      </w:r>
      <w:r w:rsidR="008B2C34">
        <w:rPr>
          <w:rFonts w:ascii="Times New Roman" w:hAnsi="Times New Roman" w:cs="Times New Roman"/>
          <w:sz w:val="24"/>
        </w:rPr>
        <w:t>could</w:t>
      </w:r>
      <w:r w:rsidR="00BC03C3" w:rsidRPr="00BC03C3">
        <w:rPr>
          <w:rFonts w:ascii="Times New Roman" w:hAnsi="Times New Roman" w:cs="Times New Roman"/>
          <w:sz w:val="24"/>
        </w:rPr>
        <w:t xml:space="preserve"> still vary </w:t>
      </w:r>
      <w:r w:rsidR="002D473E">
        <w:rPr>
          <w:rFonts w:ascii="Times New Roman" w:hAnsi="Times New Roman" w:cs="Times New Roman"/>
          <w:sz w:val="24"/>
        </w:rPr>
        <w:t>even with</w:t>
      </w:r>
      <w:r w:rsidR="00BC03C3" w:rsidRPr="00BC03C3">
        <w:rPr>
          <w:rFonts w:ascii="Times New Roman" w:hAnsi="Times New Roman" w:cs="Times New Roman"/>
          <w:sz w:val="24"/>
        </w:rPr>
        <w:t xml:space="preserve"> equal access (NASEM, 2019). A key distinction lie</w:t>
      </w:r>
      <w:r w:rsidR="008B2C34">
        <w:rPr>
          <w:rFonts w:ascii="Times New Roman" w:hAnsi="Times New Roman" w:cs="Times New Roman"/>
          <w:sz w:val="24"/>
        </w:rPr>
        <w:t>d</w:t>
      </w:r>
      <w:r w:rsidR="00BC03C3" w:rsidRPr="00BC03C3">
        <w:rPr>
          <w:rFonts w:ascii="Times New Roman" w:hAnsi="Times New Roman" w:cs="Times New Roman"/>
          <w:sz w:val="24"/>
        </w:rPr>
        <w:t xml:space="preserve"> in the economic demographics of these clusters</w:t>
      </w:r>
      <w:r w:rsidR="008B2C34">
        <w:rPr>
          <w:rFonts w:ascii="Times New Roman" w:hAnsi="Times New Roman" w:cs="Times New Roman"/>
          <w:sz w:val="24"/>
        </w:rPr>
        <w:softHyphen/>
        <w:t>—</w:t>
      </w:r>
      <w:r w:rsidR="00BC03C3" w:rsidRPr="00BC03C3">
        <w:rPr>
          <w:rFonts w:ascii="Times New Roman" w:hAnsi="Times New Roman" w:cs="Times New Roman"/>
          <w:sz w:val="24"/>
        </w:rPr>
        <w:t>Cluster 4 ha</w:t>
      </w:r>
      <w:r w:rsidR="00A14023">
        <w:rPr>
          <w:rFonts w:ascii="Times New Roman" w:hAnsi="Times New Roman" w:cs="Times New Roman"/>
          <w:sz w:val="24"/>
        </w:rPr>
        <w:t>d</w:t>
      </w:r>
      <w:r w:rsidR="00BC03C3" w:rsidRPr="00BC03C3">
        <w:rPr>
          <w:rFonts w:ascii="Times New Roman" w:hAnsi="Times New Roman" w:cs="Times New Roman"/>
          <w:sz w:val="24"/>
        </w:rPr>
        <w:t xml:space="preserve"> a higher proportion of economically disadvantaged students, supporting prior findings that low-income students consistently </w:t>
      </w:r>
      <w:proofErr w:type="gramStart"/>
      <w:r w:rsidR="00BC03C3" w:rsidRPr="00BC03C3">
        <w:rPr>
          <w:rFonts w:ascii="Times New Roman" w:hAnsi="Times New Roman" w:cs="Times New Roman"/>
          <w:sz w:val="24"/>
        </w:rPr>
        <w:t>lag behind</w:t>
      </w:r>
      <w:proofErr w:type="gramEnd"/>
      <w:r w:rsidR="00BC03C3" w:rsidRPr="00BC03C3">
        <w:rPr>
          <w:rFonts w:ascii="Times New Roman" w:hAnsi="Times New Roman" w:cs="Times New Roman"/>
          <w:sz w:val="24"/>
        </w:rPr>
        <w:t xml:space="preserve"> their more advantaged peers (</w:t>
      </w:r>
      <w:proofErr w:type="spellStart"/>
      <w:r w:rsidR="00BC03C3" w:rsidRPr="00BC03C3">
        <w:rPr>
          <w:rFonts w:ascii="Times New Roman" w:hAnsi="Times New Roman" w:cs="Times New Roman"/>
          <w:sz w:val="24"/>
        </w:rPr>
        <w:t>Handwerk</w:t>
      </w:r>
      <w:proofErr w:type="spellEnd"/>
      <w:r w:rsidR="00BC03C3" w:rsidRPr="00BC03C3">
        <w:rPr>
          <w:rFonts w:ascii="Times New Roman" w:hAnsi="Times New Roman" w:cs="Times New Roman"/>
          <w:sz w:val="24"/>
        </w:rPr>
        <w:t xml:space="preserve"> et al., 2008; Patrick et al., 2020). This underscore</w:t>
      </w:r>
      <w:r w:rsidR="00A14023">
        <w:rPr>
          <w:rFonts w:ascii="Times New Roman" w:hAnsi="Times New Roman" w:cs="Times New Roman"/>
          <w:sz w:val="24"/>
        </w:rPr>
        <w:t>d</w:t>
      </w:r>
      <w:r w:rsidR="00BC03C3" w:rsidRPr="00BC03C3">
        <w:rPr>
          <w:rFonts w:ascii="Times New Roman" w:hAnsi="Times New Roman" w:cs="Times New Roman"/>
          <w:sz w:val="24"/>
        </w:rPr>
        <w:t xml:space="preserve"> the need for schools to provide tailored resources and support systems to create truly equitable educational opportunities, as </w:t>
      </w:r>
      <w:r w:rsidR="00BC03C3">
        <w:rPr>
          <w:rFonts w:ascii="Times New Roman" w:hAnsi="Times New Roman" w:cs="Times New Roman"/>
          <w:sz w:val="24"/>
        </w:rPr>
        <w:t>advocated</w:t>
      </w:r>
      <w:r w:rsidR="00BC03C3" w:rsidRPr="00BC03C3">
        <w:rPr>
          <w:rFonts w:ascii="Times New Roman" w:hAnsi="Times New Roman" w:cs="Times New Roman"/>
          <w:sz w:val="24"/>
        </w:rPr>
        <w:t xml:space="preserve"> by NASEM (2019).</w:t>
      </w:r>
    </w:p>
    <w:p w14:paraId="348C52DC" w14:textId="326ECFA8" w:rsidR="00BC03C3" w:rsidRPr="00B47FD4" w:rsidRDefault="008524B9" w:rsidP="001B728D">
      <w:pPr>
        <w:spacing w:line="480" w:lineRule="auto"/>
        <w:ind w:firstLine="360"/>
        <w:jc w:val="left"/>
        <w:rPr>
          <w:rFonts w:ascii="Times New Roman" w:hAnsi="Times New Roman" w:cs="Times New Roman"/>
          <w:b/>
          <w:bCs/>
          <w:sz w:val="24"/>
        </w:rPr>
      </w:pPr>
      <w:r w:rsidRPr="008524B9">
        <w:rPr>
          <w:rFonts w:ascii="Times New Roman" w:hAnsi="Times New Roman" w:cs="Times New Roman"/>
          <w:sz w:val="24"/>
        </w:rPr>
        <w:t>The bubble plot provide</w:t>
      </w:r>
      <w:r>
        <w:rPr>
          <w:rFonts w:ascii="Times New Roman" w:hAnsi="Times New Roman" w:cs="Times New Roman" w:hint="eastAsia"/>
          <w:sz w:val="24"/>
        </w:rPr>
        <w:t>d</w:t>
      </w:r>
      <w:r>
        <w:rPr>
          <w:rFonts w:ascii="Times New Roman" w:hAnsi="Times New Roman" w:cs="Times New Roman"/>
          <w:sz w:val="24"/>
        </w:rPr>
        <w:t xml:space="preserve"> </w:t>
      </w:r>
      <w:r w:rsidRPr="008524B9">
        <w:rPr>
          <w:rFonts w:ascii="Times New Roman" w:hAnsi="Times New Roman" w:cs="Times New Roman"/>
          <w:sz w:val="24"/>
        </w:rPr>
        <w:t xml:space="preserve">an opportunity to closely examine schools with high educational attainment, i.e., those in Clusters 1 and 3. It </w:t>
      </w:r>
      <w:r w:rsidR="00A14023">
        <w:rPr>
          <w:rFonts w:ascii="Times New Roman" w:hAnsi="Times New Roman" w:cs="Times New Roman"/>
          <w:sz w:val="24"/>
        </w:rPr>
        <w:t xml:space="preserve">was </w:t>
      </w:r>
      <w:r w:rsidRPr="008524B9">
        <w:rPr>
          <w:rFonts w:ascii="Times New Roman" w:hAnsi="Times New Roman" w:cs="Times New Roman"/>
          <w:sz w:val="24"/>
        </w:rPr>
        <w:t xml:space="preserve">evident that schools in these two clusters </w:t>
      </w:r>
      <w:r w:rsidR="00A14023">
        <w:rPr>
          <w:rFonts w:ascii="Times New Roman" w:hAnsi="Times New Roman" w:cs="Times New Roman"/>
          <w:sz w:val="24"/>
        </w:rPr>
        <w:t>had</w:t>
      </w:r>
      <w:r w:rsidRPr="008524B9">
        <w:rPr>
          <w:rFonts w:ascii="Times New Roman" w:hAnsi="Times New Roman" w:cs="Times New Roman"/>
          <w:sz w:val="24"/>
        </w:rPr>
        <w:t xml:space="preserve"> fewer economically disadvantaged students compared to the other clusters, as indicated by the smaller bubble sizes. This observation </w:t>
      </w:r>
      <w:r w:rsidR="00A14023">
        <w:rPr>
          <w:rFonts w:ascii="Times New Roman" w:hAnsi="Times New Roman" w:cs="Times New Roman"/>
          <w:sz w:val="24"/>
        </w:rPr>
        <w:t>highlighted</w:t>
      </w:r>
      <w:r w:rsidRPr="008524B9">
        <w:rPr>
          <w:rFonts w:ascii="Times New Roman" w:hAnsi="Times New Roman" w:cs="Times New Roman"/>
          <w:sz w:val="24"/>
        </w:rPr>
        <w:t xml:space="preserve"> the persistent structural barriers to achieving outcome equity, even under conditions of resource equality (NASEM, 2019).</w:t>
      </w:r>
      <w:r>
        <w:rPr>
          <w:rFonts w:ascii="Times New Roman" w:hAnsi="Times New Roman" w:cs="Times New Roman" w:hint="eastAsia"/>
          <w:sz w:val="24"/>
        </w:rPr>
        <w:t xml:space="preserve"> </w:t>
      </w:r>
      <w:r w:rsidRPr="008524B9">
        <w:rPr>
          <w:rFonts w:ascii="Times New Roman" w:hAnsi="Times New Roman" w:cs="Times New Roman"/>
          <w:sz w:val="24"/>
        </w:rPr>
        <w:t xml:space="preserve">However, in </w:t>
      </w:r>
      <w:r w:rsidRPr="008524B9">
        <w:rPr>
          <w:rFonts w:ascii="Times New Roman" w:hAnsi="Times New Roman" w:cs="Times New Roman"/>
          <w:sz w:val="24"/>
        </w:rPr>
        <w:lastRenderedPageBreak/>
        <w:t xml:space="preserve">Cluster 3, where schools </w:t>
      </w:r>
      <w:r w:rsidR="00A14023">
        <w:rPr>
          <w:rFonts w:ascii="Times New Roman" w:hAnsi="Times New Roman" w:cs="Times New Roman"/>
          <w:sz w:val="24"/>
        </w:rPr>
        <w:t>had</w:t>
      </w:r>
      <w:r w:rsidRPr="008524B9">
        <w:rPr>
          <w:rFonts w:ascii="Times New Roman" w:hAnsi="Times New Roman" w:cs="Times New Roman"/>
          <w:sz w:val="24"/>
        </w:rPr>
        <w:t xml:space="preserve"> limited resources yet still demonstrate</w:t>
      </w:r>
      <w:r w:rsidR="00A14023">
        <w:rPr>
          <w:rFonts w:ascii="Times New Roman" w:hAnsi="Times New Roman" w:cs="Times New Roman"/>
          <w:sz w:val="24"/>
        </w:rPr>
        <w:t xml:space="preserve">d </w:t>
      </w:r>
      <w:r w:rsidRPr="008524B9">
        <w:rPr>
          <w:rFonts w:ascii="Times New Roman" w:hAnsi="Times New Roman" w:cs="Times New Roman"/>
          <w:sz w:val="24"/>
        </w:rPr>
        <w:t xml:space="preserve">high performance, a few schools </w:t>
      </w:r>
      <w:r w:rsidR="00A14023">
        <w:rPr>
          <w:rFonts w:ascii="Times New Roman" w:hAnsi="Times New Roman" w:cs="Times New Roman"/>
          <w:sz w:val="24"/>
        </w:rPr>
        <w:t>met</w:t>
      </w:r>
      <w:r w:rsidRPr="008524B9">
        <w:rPr>
          <w:rFonts w:ascii="Times New Roman" w:hAnsi="Times New Roman" w:cs="Times New Roman"/>
          <w:sz w:val="24"/>
        </w:rPr>
        <w:t xml:space="preserve"> the eligibility criteria for the Community Eligibility Provision as designated by NC DPI</w:t>
      </w:r>
      <w:r w:rsidR="00A14023">
        <w:rPr>
          <w:rFonts w:ascii="Times New Roman" w:hAnsi="Times New Roman" w:cs="Times New Roman"/>
          <w:sz w:val="24"/>
        </w:rPr>
        <w:t>—</w:t>
      </w:r>
      <w:r w:rsidRPr="008524B9">
        <w:rPr>
          <w:rFonts w:ascii="Times New Roman" w:hAnsi="Times New Roman" w:cs="Times New Roman"/>
          <w:sz w:val="24"/>
        </w:rPr>
        <w:t>indicating that over 40% of their students are economically disadvantaged. Examples include</w:t>
      </w:r>
      <w:r w:rsidR="00A14023">
        <w:rPr>
          <w:rFonts w:ascii="Times New Roman" w:hAnsi="Times New Roman" w:cs="Times New Roman"/>
          <w:sz w:val="24"/>
        </w:rPr>
        <w:t>d</w:t>
      </w:r>
      <w:r w:rsidRPr="008524B9">
        <w:rPr>
          <w:rFonts w:ascii="Times New Roman" w:hAnsi="Times New Roman" w:cs="Times New Roman"/>
          <w:sz w:val="24"/>
        </w:rPr>
        <w:t xml:space="preserve"> Henderson Collegiate, Triad Math and Science Academy, and Northside High in Onslow. These schools </w:t>
      </w:r>
      <w:r w:rsidR="00A14023">
        <w:rPr>
          <w:rFonts w:ascii="Times New Roman" w:hAnsi="Times New Roman" w:cs="Times New Roman"/>
          <w:sz w:val="24"/>
        </w:rPr>
        <w:t>stood</w:t>
      </w:r>
      <w:r w:rsidRPr="008524B9">
        <w:rPr>
          <w:rFonts w:ascii="Times New Roman" w:hAnsi="Times New Roman" w:cs="Times New Roman"/>
          <w:sz w:val="24"/>
        </w:rPr>
        <w:t xml:space="preserve"> out for their strong educational attainment despite</w:t>
      </w:r>
      <w:r w:rsidR="00A14023">
        <w:rPr>
          <w:rFonts w:ascii="Times New Roman" w:hAnsi="Times New Roman" w:cs="Times New Roman"/>
          <w:sz w:val="24"/>
        </w:rPr>
        <w:t xml:space="preserve"> </w:t>
      </w:r>
      <w:r w:rsidR="00A14023" w:rsidRPr="008524B9">
        <w:rPr>
          <w:rFonts w:ascii="Times New Roman" w:hAnsi="Times New Roman" w:cs="Times New Roman"/>
          <w:sz w:val="24"/>
        </w:rPr>
        <w:t>predominantly</w:t>
      </w:r>
      <w:r w:rsidRPr="008524B9">
        <w:rPr>
          <w:rFonts w:ascii="Times New Roman" w:hAnsi="Times New Roman" w:cs="Times New Roman"/>
          <w:sz w:val="24"/>
        </w:rPr>
        <w:t xml:space="preserve"> serving economically disadvantaged students. This suggests that these schools </w:t>
      </w:r>
      <w:r w:rsidR="00A14023">
        <w:rPr>
          <w:rFonts w:ascii="Times New Roman" w:hAnsi="Times New Roman" w:cs="Times New Roman"/>
          <w:sz w:val="24"/>
        </w:rPr>
        <w:t>might</w:t>
      </w:r>
      <w:r w:rsidRPr="008524B9">
        <w:rPr>
          <w:rFonts w:ascii="Times New Roman" w:hAnsi="Times New Roman" w:cs="Times New Roman"/>
          <w:sz w:val="24"/>
        </w:rPr>
        <w:t xml:space="preserve"> have implemented unique strategies to support their minority students, allowing them to achieve notable outcomes even without high enrollment in advanced coursework.</w:t>
      </w:r>
      <w:r w:rsidRPr="008524B9">
        <w:t xml:space="preserve"> </w:t>
      </w:r>
      <w:r w:rsidR="00A14023">
        <w:rPr>
          <w:rFonts w:ascii="Times New Roman" w:hAnsi="Times New Roman" w:cs="Times New Roman"/>
          <w:sz w:val="24"/>
        </w:rPr>
        <w:t>The</w:t>
      </w:r>
      <w:r w:rsidRPr="008524B9">
        <w:rPr>
          <w:rFonts w:ascii="Times New Roman" w:hAnsi="Times New Roman" w:cs="Times New Roman"/>
          <w:sz w:val="24"/>
        </w:rPr>
        <w:t xml:space="preserve"> specific initiatives employed by these schools remain</w:t>
      </w:r>
      <w:r w:rsidR="00A14023">
        <w:rPr>
          <w:rFonts w:ascii="Times New Roman" w:hAnsi="Times New Roman" w:cs="Times New Roman"/>
          <w:sz w:val="24"/>
        </w:rPr>
        <w:t>ed</w:t>
      </w:r>
      <w:r w:rsidRPr="008524B9">
        <w:rPr>
          <w:rFonts w:ascii="Times New Roman" w:hAnsi="Times New Roman" w:cs="Times New Roman"/>
          <w:sz w:val="24"/>
        </w:rPr>
        <w:t xml:space="preserve"> unknown </w:t>
      </w:r>
      <w:r>
        <w:rPr>
          <w:rFonts w:ascii="Times New Roman" w:hAnsi="Times New Roman" w:cs="Times New Roman"/>
          <w:sz w:val="24"/>
        </w:rPr>
        <w:t>from the current</w:t>
      </w:r>
      <w:r w:rsidRPr="008524B9">
        <w:rPr>
          <w:rFonts w:ascii="Times New Roman" w:hAnsi="Times New Roman" w:cs="Times New Roman"/>
          <w:sz w:val="24"/>
        </w:rPr>
        <w:t xml:space="preserve"> data. Future research should explore these questions by </w:t>
      </w:r>
      <w:r>
        <w:rPr>
          <w:rFonts w:ascii="Times New Roman" w:hAnsi="Times New Roman" w:cs="Times New Roman"/>
          <w:sz w:val="24"/>
        </w:rPr>
        <w:t>incorporating</w:t>
      </w:r>
      <w:r w:rsidRPr="008524B9">
        <w:rPr>
          <w:rFonts w:ascii="Times New Roman" w:hAnsi="Times New Roman" w:cs="Times New Roman"/>
          <w:sz w:val="24"/>
        </w:rPr>
        <w:t xml:space="preserve"> additional data on these schools or conducting case studies. Interviews with school leaders could provide qualitative perspectives on the practices and interventions that enable</w:t>
      </w:r>
      <w:r w:rsidR="00A14023">
        <w:rPr>
          <w:rFonts w:ascii="Times New Roman" w:hAnsi="Times New Roman" w:cs="Times New Roman"/>
          <w:sz w:val="24"/>
        </w:rPr>
        <w:t>d</w:t>
      </w:r>
      <w:r w:rsidRPr="008524B9">
        <w:rPr>
          <w:rFonts w:ascii="Times New Roman" w:hAnsi="Times New Roman" w:cs="Times New Roman"/>
          <w:sz w:val="24"/>
        </w:rPr>
        <w:t xml:space="preserve"> schools with predominantly economically disadvantaged students to achieve high educational outcomes. Such studies could offer valuable insights into effective strategies for promoting equity and success in similar contexts.</w:t>
      </w:r>
    </w:p>
    <w:p w14:paraId="35413E71" w14:textId="6787A3A3" w:rsidR="00A607E6" w:rsidRDefault="00A607E6" w:rsidP="001B728D">
      <w:pPr>
        <w:spacing w:line="480" w:lineRule="auto"/>
        <w:jc w:val="left"/>
        <w:rPr>
          <w:rFonts w:ascii="Times New Roman" w:hAnsi="Times New Roman" w:cs="Times New Roman"/>
          <w:b/>
          <w:bCs/>
          <w:sz w:val="24"/>
        </w:rPr>
      </w:pPr>
      <w:r w:rsidRPr="008524B9">
        <w:rPr>
          <w:rFonts w:ascii="Times New Roman" w:hAnsi="Times New Roman" w:cs="Times New Roman"/>
          <w:b/>
          <w:bCs/>
          <w:sz w:val="24"/>
        </w:rPr>
        <w:t>Limitations</w:t>
      </w:r>
      <w:r w:rsidR="004620C7">
        <w:rPr>
          <w:rFonts w:ascii="Times New Roman" w:hAnsi="Times New Roman" w:cs="Times New Roman"/>
          <w:b/>
          <w:bCs/>
          <w:sz w:val="24"/>
        </w:rPr>
        <w:t xml:space="preserve"> and Future Directions </w:t>
      </w:r>
    </w:p>
    <w:p w14:paraId="2A8D534C" w14:textId="07A22AF5" w:rsidR="000B0326" w:rsidRPr="000B0326" w:rsidRDefault="008524B9" w:rsidP="001B728D">
      <w:pPr>
        <w:spacing w:line="480" w:lineRule="auto"/>
        <w:jc w:val="left"/>
        <w:rPr>
          <w:rFonts w:ascii="Times New Roman" w:hAnsi="Times New Roman" w:cs="Times New Roman"/>
          <w:sz w:val="24"/>
        </w:rPr>
      </w:pPr>
      <w:r>
        <w:rPr>
          <w:rFonts w:ascii="Times New Roman" w:hAnsi="Times New Roman" w:cs="Times New Roman"/>
          <w:b/>
          <w:bCs/>
          <w:sz w:val="24"/>
        </w:rPr>
        <w:tab/>
      </w:r>
      <w:r w:rsidRPr="008524B9">
        <w:rPr>
          <w:rFonts w:ascii="Times New Roman" w:hAnsi="Times New Roman" w:cs="Times New Roman"/>
          <w:sz w:val="24"/>
        </w:rPr>
        <w:t xml:space="preserve">Despite </w:t>
      </w:r>
      <w:r w:rsidR="009C2B0E">
        <w:rPr>
          <w:rFonts w:ascii="Times New Roman" w:hAnsi="Times New Roman" w:cs="Times New Roman"/>
          <w:sz w:val="24"/>
        </w:rPr>
        <w:t>some</w:t>
      </w:r>
      <w:r w:rsidRPr="008524B9">
        <w:rPr>
          <w:rFonts w:ascii="Times New Roman" w:hAnsi="Times New Roman" w:cs="Times New Roman"/>
          <w:sz w:val="24"/>
        </w:rPr>
        <w:t xml:space="preserve"> insights into the role of structural barriers in </w:t>
      </w:r>
      <w:r w:rsidR="002D473E">
        <w:rPr>
          <w:rFonts w:ascii="Times New Roman" w:hAnsi="Times New Roman" w:cs="Times New Roman"/>
          <w:sz w:val="24"/>
        </w:rPr>
        <w:t xml:space="preserve">the </w:t>
      </w:r>
      <w:r w:rsidRPr="008524B9">
        <w:rPr>
          <w:rFonts w:ascii="Times New Roman" w:hAnsi="Times New Roman" w:cs="Times New Roman"/>
          <w:sz w:val="24"/>
        </w:rPr>
        <w:t xml:space="preserve">relationship between access to advanced coursework and educational attainment, this </w:t>
      </w:r>
      <w:r w:rsidR="009C2B0E">
        <w:rPr>
          <w:rFonts w:ascii="Times New Roman" w:hAnsi="Times New Roman" w:cs="Times New Roman"/>
          <w:sz w:val="24"/>
        </w:rPr>
        <w:t>analysis</w:t>
      </w:r>
      <w:r w:rsidRPr="008524B9">
        <w:rPr>
          <w:rFonts w:ascii="Times New Roman" w:hAnsi="Times New Roman" w:cs="Times New Roman"/>
          <w:sz w:val="24"/>
        </w:rPr>
        <w:t xml:space="preserve"> has some limitations. The absence of postsecondary outcome data in CRDC necessitated the use of NC DPI data, leading to two main challenges. First, the lack of a common identifier between the two systems required reliance on school names for merging, which introduced a high risk of error. Second</w:t>
      </w:r>
      <w:r w:rsidR="009C2B0E">
        <w:rPr>
          <w:rFonts w:ascii="Times New Roman" w:hAnsi="Times New Roman" w:cs="Times New Roman"/>
          <w:sz w:val="24"/>
        </w:rPr>
        <w:t xml:space="preserve">, the </w:t>
      </w:r>
      <w:r w:rsidRPr="008524B9">
        <w:rPr>
          <w:rFonts w:ascii="Times New Roman" w:hAnsi="Times New Roman" w:cs="Times New Roman"/>
          <w:sz w:val="24"/>
        </w:rPr>
        <w:t>decision to retain only schools with complete postsecondary outcome data</w:t>
      </w:r>
      <w:r w:rsidR="009C2B0E">
        <w:rPr>
          <w:rFonts w:ascii="Times New Roman" w:hAnsi="Times New Roman" w:cs="Times New Roman"/>
          <w:sz w:val="24"/>
        </w:rPr>
        <w:t xml:space="preserve"> </w:t>
      </w:r>
      <w:r w:rsidRPr="008524B9">
        <w:rPr>
          <w:rFonts w:ascii="Times New Roman" w:hAnsi="Times New Roman" w:cs="Times New Roman"/>
          <w:sz w:val="24"/>
        </w:rPr>
        <w:t>unfortunately led to a substantial reduction in sample size.</w:t>
      </w:r>
    </w:p>
    <w:p w14:paraId="189070B4" w14:textId="5CB878E2" w:rsidR="001B728D" w:rsidRPr="001B728D" w:rsidRDefault="001B728D" w:rsidP="001B728D">
      <w:pPr>
        <w:spacing w:line="480" w:lineRule="auto"/>
        <w:ind w:firstLine="720"/>
        <w:jc w:val="left"/>
        <w:rPr>
          <w:rFonts w:ascii="Times New Roman" w:hAnsi="Times New Roman" w:cs="Times New Roman"/>
          <w:sz w:val="24"/>
        </w:rPr>
      </w:pPr>
      <w:r w:rsidRPr="001B728D">
        <w:rPr>
          <w:rFonts w:ascii="Times New Roman" w:hAnsi="Times New Roman" w:cs="Times New Roman"/>
          <w:sz w:val="24"/>
        </w:rPr>
        <w:t xml:space="preserve">Although this study incorporated many relevant features related to advanced coursework, </w:t>
      </w:r>
      <w:r w:rsidRPr="001B728D">
        <w:rPr>
          <w:rFonts w:ascii="Times New Roman" w:hAnsi="Times New Roman" w:cs="Times New Roman"/>
          <w:sz w:val="24"/>
        </w:rPr>
        <w:lastRenderedPageBreak/>
        <w:t xml:space="preserve">educational attainment, and basic school characteristics, it excluded critical factors related to structural barriers, such as detailed demographic compositions for each school. Moreover, focusing solely on advanced coursework to investigate disparities in educational attainment </w:t>
      </w:r>
      <w:r w:rsidR="009C2B0E">
        <w:rPr>
          <w:rFonts w:ascii="Times New Roman" w:hAnsi="Times New Roman" w:cs="Times New Roman"/>
          <w:sz w:val="24"/>
        </w:rPr>
        <w:t>was inadequate</w:t>
      </w:r>
      <w:r w:rsidRPr="001B728D">
        <w:rPr>
          <w:rFonts w:ascii="Times New Roman" w:hAnsi="Times New Roman" w:cs="Times New Roman"/>
          <w:sz w:val="24"/>
        </w:rPr>
        <w:t xml:space="preserve">, as inequities in access </w:t>
      </w:r>
      <w:r w:rsidR="009C2B0E">
        <w:rPr>
          <w:rFonts w:ascii="Times New Roman" w:hAnsi="Times New Roman" w:cs="Times New Roman"/>
          <w:sz w:val="24"/>
        </w:rPr>
        <w:t>could</w:t>
      </w:r>
      <w:r w:rsidRPr="001B728D">
        <w:rPr>
          <w:rFonts w:ascii="Times New Roman" w:hAnsi="Times New Roman" w:cs="Times New Roman"/>
          <w:sz w:val="24"/>
        </w:rPr>
        <w:t xml:space="preserve"> manifest in various forms, including high-quality instruction, effective teaching, and non-academic support systems (Darling-Hammond, 2010; NASEM, 2019). These inequities </w:t>
      </w:r>
      <w:r w:rsidR="009C2B0E">
        <w:rPr>
          <w:rFonts w:ascii="Times New Roman" w:hAnsi="Times New Roman" w:cs="Times New Roman"/>
          <w:sz w:val="24"/>
        </w:rPr>
        <w:t>could</w:t>
      </w:r>
      <w:r w:rsidRPr="001B728D">
        <w:rPr>
          <w:rFonts w:ascii="Times New Roman" w:hAnsi="Times New Roman" w:cs="Times New Roman"/>
          <w:sz w:val="24"/>
        </w:rPr>
        <w:t xml:space="preserve"> emerge as early as the pre-kindergarten learning environment, further compounding disparities over time (Darling-Hammond, 2010; Lee, 2012; NASEM, 2019). Therefore, future research should expand the dataset to include a broader range of variables, capturing additional school characteristics and incorporating measures for other NASEM indicators to provide a more comprehensive understanding of educational inequities.</w:t>
      </w:r>
    </w:p>
    <w:p w14:paraId="6C367B04" w14:textId="5B8B9AFD" w:rsidR="001B728D" w:rsidRDefault="000B0326" w:rsidP="001B728D">
      <w:pPr>
        <w:spacing w:line="480" w:lineRule="auto"/>
        <w:ind w:firstLine="720"/>
        <w:jc w:val="left"/>
        <w:rPr>
          <w:rFonts w:ascii="Times New Roman" w:hAnsi="Times New Roman" w:cs="Times New Roman"/>
          <w:sz w:val="24"/>
        </w:rPr>
        <w:sectPr w:rsidR="001B728D" w:rsidSect="00EC1F8E">
          <w:headerReference w:type="even" r:id="rId7"/>
          <w:headerReference w:type="default" r:id="rId8"/>
          <w:pgSz w:w="12240" w:h="15840"/>
          <w:pgMar w:top="1440" w:right="1440" w:bottom="1440" w:left="1440" w:header="720" w:footer="720" w:gutter="0"/>
          <w:cols w:space="720"/>
          <w:docGrid w:linePitch="360"/>
        </w:sectPr>
      </w:pPr>
      <w:r w:rsidRPr="000B0326">
        <w:rPr>
          <w:rFonts w:ascii="Times New Roman" w:hAnsi="Times New Roman" w:cs="Times New Roman"/>
          <w:sz w:val="24"/>
        </w:rPr>
        <w:t xml:space="preserve">Additionally, since this study </w:t>
      </w:r>
      <w:r w:rsidR="009C2B0E">
        <w:rPr>
          <w:rFonts w:ascii="Times New Roman" w:hAnsi="Times New Roman" w:cs="Times New Roman"/>
          <w:sz w:val="24"/>
        </w:rPr>
        <w:t>is</w:t>
      </w:r>
      <w:r w:rsidRPr="000B0326">
        <w:rPr>
          <w:rFonts w:ascii="Times New Roman" w:hAnsi="Times New Roman" w:cs="Times New Roman"/>
          <w:sz w:val="24"/>
        </w:rPr>
        <w:t xml:space="preserve"> purely descriptive and based on a relatively small dataset from one state, its scope and explanatory power </w:t>
      </w:r>
      <w:r w:rsidR="009C2B0E">
        <w:rPr>
          <w:rFonts w:ascii="Times New Roman" w:hAnsi="Times New Roman" w:cs="Times New Roman"/>
          <w:sz w:val="24"/>
        </w:rPr>
        <w:t>are</w:t>
      </w:r>
      <w:r w:rsidRPr="000B0326">
        <w:rPr>
          <w:rFonts w:ascii="Times New Roman" w:hAnsi="Times New Roman" w:cs="Times New Roman"/>
          <w:sz w:val="24"/>
        </w:rPr>
        <w:t xml:space="preserve"> inherently limited. As Weinstein (2008) noted, </w:t>
      </w:r>
      <w:r>
        <w:rPr>
          <w:rFonts w:ascii="Times New Roman" w:hAnsi="Times New Roman" w:cs="Times New Roman"/>
          <w:sz w:val="24"/>
        </w:rPr>
        <w:t>HCA</w:t>
      </w:r>
      <w:r w:rsidRPr="000B0326">
        <w:rPr>
          <w:rFonts w:ascii="Times New Roman" w:hAnsi="Times New Roman" w:cs="Times New Roman"/>
          <w:sz w:val="24"/>
        </w:rPr>
        <w:t xml:space="preserve"> provide</w:t>
      </w:r>
      <w:r w:rsidR="00A62FA8">
        <w:rPr>
          <w:rFonts w:ascii="Times New Roman" w:hAnsi="Times New Roman" w:cs="Times New Roman"/>
          <w:sz w:val="24"/>
        </w:rPr>
        <w:t>s</w:t>
      </w:r>
      <w:r w:rsidRPr="000B0326">
        <w:rPr>
          <w:rFonts w:ascii="Times New Roman" w:hAnsi="Times New Roman" w:cs="Times New Roman"/>
          <w:sz w:val="24"/>
        </w:rPr>
        <w:t xml:space="preserve"> only a first-order insight into data, meaning that complex nonlinear relationships among a small number of samples are unlikely to emerge. Furthermore, as Xu and Wunsch (2005) explained, </w:t>
      </w:r>
      <w:r>
        <w:rPr>
          <w:rFonts w:ascii="Times New Roman" w:hAnsi="Times New Roman" w:cs="Times New Roman"/>
          <w:sz w:val="24"/>
        </w:rPr>
        <w:t>HCA</w:t>
      </w:r>
      <w:r w:rsidRPr="000B0326">
        <w:rPr>
          <w:rFonts w:ascii="Times New Roman" w:hAnsi="Times New Roman" w:cs="Times New Roman"/>
          <w:sz w:val="24"/>
        </w:rPr>
        <w:t xml:space="preserve"> </w:t>
      </w:r>
      <w:r w:rsidR="00A62FA8">
        <w:rPr>
          <w:rFonts w:ascii="Times New Roman" w:hAnsi="Times New Roman" w:cs="Times New Roman"/>
          <w:sz w:val="24"/>
        </w:rPr>
        <w:t>cannot</w:t>
      </w:r>
      <w:r w:rsidRPr="000B0326">
        <w:rPr>
          <w:rFonts w:ascii="Times New Roman" w:hAnsi="Times New Roman" w:cs="Times New Roman"/>
          <w:sz w:val="24"/>
        </w:rPr>
        <w:t xml:space="preserve"> offer an accurate characterization of unobserved samples, limiting the generalizability of the findings.</w:t>
      </w:r>
      <w:r w:rsidR="004620C7">
        <w:rPr>
          <w:rFonts w:ascii="Times New Roman" w:hAnsi="Times New Roman" w:cs="Times New Roman"/>
          <w:sz w:val="24"/>
        </w:rPr>
        <w:t xml:space="preserve"> </w:t>
      </w:r>
      <w:r w:rsidR="001B728D" w:rsidRPr="001B728D">
        <w:rPr>
          <w:rFonts w:ascii="Times New Roman" w:hAnsi="Times New Roman" w:cs="Times New Roman"/>
          <w:sz w:val="24"/>
        </w:rPr>
        <w:t xml:space="preserve">Moreover, since this analysis was conducted at the school level, </w:t>
      </w:r>
      <w:r w:rsidR="009C2B0E" w:rsidRPr="001B728D">
        <w:rPr>
          <w:rFonts w:ascii="Times New Roman" w:hAnsi="Times New Roman" w:cs="Times New Roman"/>
          <w:sz w:val="24"/>
        </w:rPr>
        <w:t>it</w:t>
      </w:r>
      <w:r w:rsidR="009C2B0E">
        <w:rPr>
          <w:rFonts w:ascii="Times New Roman" w:hAnsi="Times New Roman" w:cs="Times New Roman"/>
          <w:sz w:val="24"/>
        </w:rPr>
        <w:t xml:space="preserve"> was</w:t>
      </w:r>
      <w:r w:rsidR="001B728D" w:rsidRPr="001B728D">
        <w:rPr>
          <w:rFonts w:ascii="Times New Roman" w:hAnsi="Times New Roman" w:cs="Times New Roman"/>
          <w:sz w:val="24"/>
        </w:rPr>
        <w:t xml:space="preserve"> difficult to determine which students </w:t>
      </w:r>
      <w:r w:rsidR="009C2B0E">
        <w:rPr>
          <w:rFonts w:ascii="Times New Roman" w:hAnsi="Times New Roman" w:cs="Times New Roman"/>
          <w:sz w:val="24"/>
        </w:rPr>
        <w:t>were enrolled</w:t>
      </w:r>
      <w:r w:rsidR="001B728D" w:rsidRPr="001B728D">
        <w:rPr>
          <w:rFonts w:ascii="Times New Roman" w:hAnsi="Times New Roman" w:cs="Times New Roman"/>
          <w:sz w:val="24"/>
        </w:rPr>
        <w:t xml:space="preserve"> in </w:t>
      </w:r>
      <w:r w:rsidR="009C2B0E">
        <w:rPr>
          <w:rFonts w:ascii="Times New Roman" w:hAnsi="Times New Roman" w:cs="Times New Roman"/>
          <w:sz w:val="24"/>
        </w:rPr>
        <w:t>the advanced</w:t>
      </w:r>
      <w:r w:rsidR="001B728D" w:rsidRPr="001B728D">
        <w:rPr>
          <w:rFonts w:ascii="Times New Roman" w:hAnsi="Times New Roman" w:cs="Times New Roman"/>
          <w:sz w:val="24"/>
        </w:rPr>
        <w:t xml:space="preserve"> courses. Even in schools with high enrollment rates in advanced coursework, it is possible that </w:t>
      </w:r>
      <w:r w:rsidR="00A97B34">
        <w:rPr>
          <w:rFonts w:ascii="Times New Roman" w:hAnsi="Times New Roman" w:cs="Times New Roman"/>
          <w:sz w:val="24"/>
        </w:rPr>
        <w:t>economically disadvantaged</w:t>
      </w:r>
      <w:r w:rsidR="001B728D" w:rsidRPr="001B728D">
        <w:rPr>
          <w:rFonts w:ascii="Times New Roman" w:hAnsi="Times New Roman" w:cs="Times New Roman"/>
          <w:sz w:val="24"/>
        </w:rPr>
        <w:t xml:space="preserve"> students are still disproportionately restricted from enrollment, as suggested by Patrick</w:t>
      </w:r>
      <w:r w:rsidR="001B728D">
        <w:rPr>
          <w:rFonts w:ascii="Times New Roman" w:hAnsi="Times New Roman" w:cs="Times New Roman"/>
          <w:sz w:val="24"/>
        </w:rPr>
        <w:t xml:space="preserve"> and colleagues </w:t>
      </w:r>
      <w:r w:rsidR="001B728D" w:rsidRPr="001B728D">
        <w:rPr>
          <w:rFonts w:ascii="Times New Roman" w:hAnsi="Times New Roman" w:cs="Times New Roman"/>
          <w:sz w:val="24"/>
        </w:rPr>
        <w:t>(2020). Therefore, future studies should, if possible, conduct this analysis at the student level to better capture disparities in access and participati</w:t>
      </w:r>
      <w:r w:rsidR="001B728D">
        <w:rPr>
          <w:rFonts w:ascii="Times New Roman" w:hAnsi="Times New Roman" w:cs="Times New Roman"/>
          <w:sz w:val="24"/>
        </w:rPr>
        <w:t>on.</w:t>
      </w:r>
    </w:p>
    <w:p w14:paraId="34252E1B" w14:textId="77777777" w:rsidR="001B728D" w:rsidRPr="000B7CD9" w:rsidRDefault="001B728D" w:rsidP="001B728D">
      <w:pPr>
        <w:widowControl/>
        <w:jc w:val="left"/>
        <w:rPr>
          <w:rFonts w:ascii="Times New Roman" w:hAnsi="Times New Roman" w:cs="Times New Roman"/>
          <w:b/>
          <w:bCs/>
          <w:sz w:val="20"/>
          <w:szCs w:val="20"/>
        </w:rPr>
      </w:pPr>
      <w:r w:rsidRPr="000B7CD9">
        <w:rPr>
          <w:rFonts w:ascii="Times New Roman" w:hAnsi="Times New Roman" w:cs="Times New Roman"/>
          <w:b/>
          <w:bCs/>
          <w:sz w:val="20"/>
          <w:szCs w:val="20"/>
        </w:rPr>
        <w:lastRenderedPageBreak/>
        <w:t>Table 1</w:t>
      </w:r>
    </w:p>
    <w:p w14:paraId="116695EB" w14:textId="77777777" w:rsidR="001B728D" w:rsidRPr="000B7CD9" w:rsidRDefault="001B728D" w:rsidP="001B728D">
      <w:pPr>
        <w:jc w:val="left"/>
        <w:rPr>
          <w:rFonts w:ascii="Times New Roman" w:hAnsi="Times New Roman" w:cs="Times New Roman"/>
          <w:i/>
          <w:iCs/>
          <w:sz w:val="20"/>
          <w:szCs w:val="20"/>
        </w:rPr>
      </w:pPr>
      <w:r w:rsidRPr="000B7CD9">
        <w:rPr>
          <w:rFonts w:ascii="Times New Roman" w:hAnsi="Times New Roman" w:cs="Times New Roman"/>
          <w:i/>
          <w:iCs/>
          <w:sz w:val="20"/>
          <w:szCs w:val="20"/>
        </w:rPr>
        <w:t>Descriptive Statistics of Variables in the Current Dataset</w:t>
      </w:r>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0"/>
        <w:gridCol w:w="4500"/>
        <w:gridCol w:w="1080"/>
        <w:gridCol w:w="1080"/>
        <w:gridCol w:w="1080"/>
        <w:gridCol w:w="1080"/>
        <w:gridCol w:w="1080"/>
      </w:tblGrid>
      <w:tr w:rsidR="001B728D" w:rsidRPr="000B7CD9" w14:paraId="1FB3D500" w14:textId="77777777" w:rsidTr="009F058A">
        <w:trPr>
          <w:jc w:val="center"/>
        </w:trPr>
        <w:tc>
          <w:tcPr>
            <w:tcW w:w="2970" w:type="dxa"/>
            <w:tcBorders>
              <w:top w:val="single" w:sz="4" w:space="0" w:color="auto"/>
              <w:bottom w:val="single" w:sz="4" w:space="0" w:color="auto"/>
            </w:tcBorders>
            <w:vAlign w:val="center"/>
          </w:tcPr>
          <w:p w14:paraId="279203D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Variable</w:t>
            </w:r>
          </w:p>
        </w:tc>
        <w:tc>
          <w:tcPr>
            <w:tcW w:w="4500" w:type="dxa"/>
            <w:tcBorders>
              <w:top w:val="single" w:sz="4" w:space="0" w:color="auto"/>
              <w:bottom w:val="single" w:sz="4" w:space="0" w:color="auto"/>
            </w:tcBorders>
            <w:vAlign w:val="center"/>
          </w:tcPr>
          <w:p w14:paraId="27AB334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Description</w:t>
            </w:r>
          </w:p>
        </w:tc>
        <w:tc>
          <w:tcPr>
            <w:tcW w:w="1080" w:type="dxa"/>
            <w:tcBorders>
              <w:top w:val="single" w:sz="4" w:space="0" w:color="auto"/>
              <w:bottom w:val="single" w:sz="4" w:space="0" w:color="auto"/>
              <w:right w:val="nil"/>
            </w:tcBorders>
            <w:vAlign w:val="center"/>
          </w:tcPr>
          <w:p w14:paraId="6DDB01E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c>
          <w:tcPr>
            <w:tcW w:w="1080" w:type="dxa"/>
            <w:tcBorders>
              <w:top w:val="single" w:sz="4" w:space="0" w:color="auto"/>
              <w:left w:val="nil"/>
              <w:bottom w:val="single" w:sz="4" w:space="0" w:color="auto"/>
              <w:right w:val="nil"/>
            </w:tcBorders>
            <w:vAlign w:val="center"/>
          </w:tcPr>
          <w:p w14:paraId="05E4A13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Min</w:t>
            </w:r>
          </w:p>
        </w:tc>
        <w:tc>
          <w:tcPr>
            <w:tcW w:w="1080" w:type="dxa"/>
            <w:tcBorders>
              <w:top w:val="single" w:sz="4" w:space="0" w:color="auto"/>
              <w:left w:val="nil"/>
              <w:bottom w:val="single" w:sz="4" w:space="0" w:color="auto"/>
              <w:right w:val="nil"/>
            </w:tcBorders>
            <w:vAlign w:val="center"/>
          </w:tcPr>
          <w:p w14:paraId="2F0AB11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Max</w:t>
            </w:r>
          </w:p>
        </w:tc>
        <w:tc>
          <w:tcPr>
            <w:tcW w:w="1080" w:type="dxa"/>
            <w:tcBorders>
              <w:top w:val="single" w:sz="4" w:space="0" w:color="auto"/>
              <w:left w:val="nil"/>
              <w:bottom w:val="single" w:sz="4" w:space="0" w:color="auto"/>
            </w:tcBorders>
            <w:vAlign w:val="center"/>
          </w:tcPr>
          <w:p w14:paraId="4838E34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Mean</w:t>
            </w:r>
          </w:p>
        </w:tc>
        <w:tc>
          <w:tcPr>
            <w:tcW w:w="1080" w:type="dxa"/>
            <w:tcBorders>
              <w:top w:val="single" w:sz="4" w:space="0" w:color="auto"/>
              <w:left w:val="nil"/>
              <w:bottom w:val="single" w:sz="4" w:space="0" w:color="auto"/>
            </w:tcBorders>
          </w:tcPr>
          <w:p w14:paraId="4974C4E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SD</w:t>
            </w:r>
          </w:p>
        </w:tc>
      </w:tr>
      <w:tr w:rsidR="001B728D" w:rsidRPr="000B7CD9" w14:paraId="5A53716B" w14:textId="77777777" w:rsidTr="009F058A">
        <w:trPr>
          <w:jc w:val="center"/>
        </w:trPr>
        <w:tc>
          <w:tcPr>
            <w:tcW w:w="2970" w:type="dxa"/>
          </w:tcPr>
          <w:p w14:paraId="50FF221D"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num_classes_adv_math</w:t>
            </w:r>
            <w:proofErr w:type="spellEnd"/>
          </w:p>
        </w:tc>
        <w:tc>
          <w:tcPr>
            <w:tcW w:w="4500" w:type="dxa"/>
          </w:tcPr>
          <w:p w14:paraId="66CC867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advanced math classes offered.</w:t>
            </w:r>
          </w:p>
        </w:tc>
        <w:tc>
          <w:tcPr>
            <w:tcW w:w="1080" w:type="dxa"/>
            <w:tcBorders>
              <w:right w:val="nil"/>
            </w:tcBorders>
          </w:tcPr>
          <w:p w14:paraId="4F4EFAC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0.42</w:t>
            </w:r>
          </w:p>
        </w:tc>
        <w:tc>
          <w:tcPr>
            <w:tcW w:w="1080" w:type="dxa"/>
            <w:tcBorders>
              <w:left w:val="nil"/>
              <w:right w:val="nil"/>
            </w:tcBorders>
          </w:tcPr>
          <w:p w14:paraId="23F6F6E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right w:val="nil"/>
            </w:tcBorders>
          </w:tcPr>
          <w:p w14:paraId="546A397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87.00</w:t>
            </w:r>
          </w:p>
        </w:tc>
        <w:tc>
          <w:tcPr>
            <w:tcW w:w="1080" w:type="dxa"/>
            <w:tcBorders>
              <w:left w:val="nil"/>
            </w:tcBorders>
          </w:tcPr>
          <w:p w14:paraId="0A2B12E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7.65</w:t>
            </w:r>
          </w:p>
        </w:tc>
        <w:tc>
          <w:tcPr>
            <w:tcW w:w="1080" w:type="dxa"/>
            <w:tcBorders>
              <w:left w:val="nil"/>
            </w:tcBorders>
            <w:vAlign w:val="center"/>
          </w:tcPr>
          <w:p w14:paraId="3181C44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9.39</w:t>
            </w:r>
          </w:p>
        </w:tc>
      </w:tr>
      <w:tr w:rsidR="001B728D" w:rsidRPr="000B7CD9" w14:paraId="2AE2E292" w14:textId="77777777" w:rsidTr="009F058A">
        <w:trPr>
          <w:jc w:val="center"/>
        </w:trPr>
        <w:tc>
          <w:tcPr>
            <w:tcW w:w="2970" w:type="dxa"/>
          </w:tcPr>
          <w:p w14:paraId="4E32F45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num_classes_algebra2</w:t>
            </w:r>
          </w:p>
        </w:tc>
        <w:tc>
          <w:tcPr>
            <w:tcW w:w="4500" w:type="dxa"/>
          </w:tcPr>
          <w:p w14:paraId="13D522C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Algebra 2 classes offered.</w:t>
            </w:r>
          </w:p>
        </w:tc>
        <w:tc>
          <w:tcPr>
            <w:tcW w:w="1080" w:type="dxa"/>
            <w:tcBorders>
              <w:right w:val="nil"/>
            </w:tcBorders>
          </w:tcPr>
          <w:p w14:paraId="72A3C5F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0.42</w:t>
            </w:r>
          </w:p>
        </w:tc>
        <w:tc>
          <w:tcPr>
            <w:tcW w:w="1080" w:type="dxa"/>
            <w:tcBorders>
              <w:left w:val="nil"/>
              <w:right w:val="nil"/>
            </w:tcBorders>
          </w:tcPr>
          <w:p w14:paraId="0FEF86B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right w:val="nil"/>
            </w:tcBorders>
          </w:tcPr>
          <w:p w14:paraId="7310652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68.00</w:t>
            </w:r>
          </w:p>
        </w:tc>
        <w:tc>
          <w:tcPr>
            <w:tcW w:w="1080" w:type="dxa"/>
            <w:tcBorders>
              <w:left w:val="nil"/>
            </w:tcBorders>
          </w:tcPr>
          <w:p w14:paraId="5705BCB2"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15.73</w:t>
            </w:r>
          </w:p>
        </w:tc>
        <w:tc>
          <w:tcPr>
            <w:tcW w:w="1080" w:type="dxa"/>
            <w:tcBorders>
              <w:left w:val="nil"/>
            </w:tcBorders>
            <w:vAlign w:val="center"/>
          </w:tcPr>
          <w:p w14:paraId="1224DA9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11.09</w:t>
            </w:r>
          </w:p>
        </w:tc>
      </w:tr>
      <w:tr w:rsidR="001B728D" w:rsidRPr="000B7CD9" w14:paraId="2D1AF903" w14:textId="77777777" w:rsidTr="009F058A">
        <w:trPr>
          <w:jc w:val="center"/>
        </w:trPr>
        <w:tc>
          <w:tcPr>
            <w:tcW w:w="2970" w:type="dxa"/>
          </w:tcPr>
          <w:p w14:paraId="5D1ABD59"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num_classes_calculus</w:t>
            </w:r>
            <w:proofErr w:type="spellEnd"/>
          </w:p>
        </w:tc>
        <w:tc>
          <w:tcPr>
            <w:tcW w:w="4500" w:type="dxa"/>
          </w:tcPr>
          <w:p w14:paraId="65DEF60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calculus classes offered.</w:t>
            </w:r>
          </w:p>
        </w:tc>
        <w:tc>
          <w:tcPr>
            <w:tcW w:w="1080" w:type="dxa"/>
            <w:tcBorders>
              <w:right w:val="nil"/>
            </w:tcBorders>
          </w:tcPr>
          <w:p w14:paraId="3590ECD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0.42</w:t>
            </w:r>
          </w:p>
        </w:tc>
        <w:tc>
          <w:tcPr>
            <w:tcW w:w="1080" w:type="dxa"/>
            <w:tcBorders>
              <w:left w:val="nil"/>
              <w:right w:val="nil"/>
            </w:tcBorders>
          </w:tcPr>
          <w:p w14:paraId="13DBCC5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right w:val="nil"/>
            </w:tcBorders>
          </w:tcPr>
          <w:p w14:paraId="723A778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24.00</w:t>
            </w:r>
          </w:p>
        </w:tc>
        <w:tc>
          <w:tcPr>
            <w:tcW w:w="1080" w:type="dxa"/>
            <w:tcBorders>
              <w:left w:val="nil"/>
            </w:tcBorders>
          </w:tcPr>
          <w:p w14:paraId="480834A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2.72</w:t>
            </w:r>
          </w:p>
        </w:tc>
        <w:tc>
          <w:tcPr>
            <w:tcW w:w="1080" w:type="dxa"/>
            <w:tcBorders>
              <w:left w:val="nil"/>
            </w:tcBorders>
            <w:vAlign w:val="center"/>
          </w:tcPr>
          <w:p w14:paraId="7DD9F1B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3.51</w:t>
            </w:r>
          </w:p>
        </w:tc>
      </w:tr>
      <w:tr w:rsidR="001B728D" w:rsidRPr="000B7CD9" w14:paraId="38E136AC" w14:textId="77777777" w:rsidTr="009F058A">
        <w:trPr>
          <w:jc w:val="center"/>
        </w:trPr>
        <w:tc>
          <w:tcPr>
            <w:tcW w:w="2970" w:type="dxa"/>
          </w:tcPr>
          <w:p w14:paraId="7ECFA168"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num_classes_biology</w:t>
            </w:r>
            <w:proofErr w:type="spellEnd"/>
          </w:p>
        </w:tc>
        <w:tc>
          <w:tcPr>
            <w:tcW w:w="4500" w:type="dxa"/>
          </w:tcPr>
          <w:p w14:paraId="7E701142"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biology classes offered.</w:t>
            </w:r>
          </w:p>
        </w:tc>
        <w:tc>
          <w:tcPr>
            <w:tcW w:w="1080" w:type="dxa"/>
            <w:tcBorders>
              <w:right w:val="nil"/>
            </w:tcBorders>
          </w:tcPr>
          <w:p w14:paraId="2C530232"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right w:val="nil"/>
            </w:tcBorders>
          </w:tcPr>
          <w:p w14:paraId="0787FD5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right w:val="nil"/>
            </w:tcBorders>
          </w:tcPr>
          <w:p w14:paraId="070E25B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98.00</w:t>
            </w:r>
          </w:p>
        </w:tc>
        <w:tc>
          <w:tcPr>
            <w:tcW w:w="1080" w:type="dxa"/>
            <w:tcBorders>
              <w:left w:val="nil"/>
            </w:tcBorders>
          </w:tcPr>
          <w:p w14:paraId="44CA42D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20.10</w:t>
            </w:r>
          </w:p>
        </w:tc>
        <w:tc>
          <w:tcPr>
            <w:tcW w:w="1080" w:type="dxa"/>
            <w:tcBorders>
              <w:left w:val="nil"/>
            </w:tcBorders>
            <w:vAlign w:val="center"/>
          </w:tcPr>
          <w:p w14:paraId="1E72E5A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15.37</w:t>
            </w:r>
          </w:p>
        </w:tc>
      </w:tr>
      <w:tr w:rsidR="001B728D" w:rsidRPr="000B7CD9" w14:paraId="228E92C7" w14:textId="77777777" w:rsidTr="009F058A">
        <w:trPr>
          <w:jc w:val="center"/>
        </w:trPr>
        <w:tc>
          <w:tcPr>
            <w:tcW w:w="2970" w:type="dxa"/>
          </w:tcPr>
          <w:p w14:paraId="32FB39C1"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num_classes_chemistry</w:t>
            </w:r>
            <w:proofErr w:type="spellEnd"/>
          </w:p>
        </w:tc>
        <w:tc>
          <w:tcPr>
            <w:tcW w:w="4500" w:type="dxa"/>
          </w:tcPr>
          <w:p w14:paraId="6AE36FB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chemistry classes offered.</w:t>
            </w:r>
          </w:p>
        </w:tc>
        <w:tc>
          <w:tcPr>
            <w:tcW w:w="1080" w:type="dxa"/>
            <w:tcBorders>
              <w:right w:val="nil"/>
            </w:tcBorders>
          </w:tcPr>
          <w:p w14:paraId="324187B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right w:val="nil"/>
            </w:tcBorders>
          </w:tcPr>
          <w:p w14:paraId="17002ED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right w:val="nil"/>
            </w:tcBorders>
          </w:tcPr>
          <w:p w14:paraId="7D1243F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63.00</w:t>
            </w:r>
          </w:p>
        </w:tc>
        <w:tc>
          <w:tcPr>
            <w:tcW w:w="1080" w:type="dxa"/>
            <w:tcBorders>
              <w:left w:val="nil"/>
            </w:tcBorders>
          </w:tcPr>
          <w:p w14:paraId="40C5AA8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9.73</w:t>
            </w:r>
          </w:p>
        </w:tc>
        <w:tc>
          <w:tcPr>
            <w:tcW w:w="1080" w:type="dxa"/>
            <w:tcBorders>
              <w:left w:val="nil"/>
            </w:tcBorders>
            <w:vAlign w:val="center"/>
          </w:tcPr>
          <w:p w14:paraId="7A2CC50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9.65</w:t>
            </w:r>
          </w:p>
        </w:tc>
      </w:tr>
      <w:tr w:rsidR="001B728D" w:rsidRPr="000B7CD9" w14:paraId="3AEACFE2" w14:textId="77777777" w:rsidTr="009F058A">
        <w:trPr>
          <w:jc w:val="center"/>
        </w:trPr>
        <w:tc>
          <w:tcPr>
            <w:tcW w:w="2970" w:type="dxa"/>
          </w:tcPr>
          <w:p w14:paraId="52A1A6D9"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num_classes_geometry</w:t>
            </w:r>
            <w:proofErr w:type="spellEnd"/>
          </w:p>
        </w:tc>
        <w:tc>
          <w:tcPr>
            <w:tcW w:w="4500" w:type="dxa"/>
          </w:tcPr>
          <w:p w14:paraId="1E8AA26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geometry classes offered.</w:t>
            </w:r>
          </w:p>
        </w:tc>
        <w:tc>
          <w:tcPr>
            <w:tcW w:w="1080" w:type="dxa"/>
            <w:tcBorders>
              <w:bottom w:val="nil"/>
              <w:right w:val="nil"/>
            </w:tcBorders>
          </w:tcPr>
          <w:p w14:paraId="478545E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0.42</w:t>
            </w:r>
          </w:p>
        </w:tc>
        <w:tc>
          <w:tcPr>
            <w:tcW w:w="1080" w:type="dxa"/>
            <w:tcBorders>
              <w:left w:val="nil"/>
              <w:bottom w:val="nil"/>
              <w:right w:val="nil"/>
            </w:tcBorders>
          </w:tcPr>
          <w:p w14:paraId="5ED670E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left w:val="nil"/>
              <w:bottom w:val="nil"/>
              <w:right w:val="nil"/>
            </w:tcBorders>
          </w:tcPr>
          <w:p w14:paraId="63B60F2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73.00</w:t>
            </w:r>
          </w:p>
        </w:tc>
        <w:tc>
          <w:tcPr>
            <w:tcW w:w="1080" w:type="dxa"/>
            <w:tcBorders>
              <w:left w:val="nil"/>
              <w:bottom w:val="nil"/>
            </w:tcBorders>
          </w:tcPr>
          <w:p w14:paraId="5A71399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16.82</w:t>
            </w:r>
          </w:p>
        </w:tc>
        <w:tc>
          <w:tcPr>
            <w:tcW w:w="1080" w:type="dxa"/>
            <w:tcBorders>
              <w:left w:val="nil"/>
              <w:bottom w:val="nil"/>
            </w:tcBorders>
            <w:vAlign w:val="center"/>
          </w:tcPr>
          <w:p w14:paraId="44BA520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12.12</w:t>
            </w:r>
          </w:p>
        </w:tc>
      </w:tr>
      <w:tr w:rsidR="001B728D" w:rsidRPr="000B7CD9" w14:paraId="0A34CFE7" w14:textId="77777777" w:rsidTr="009F058A">
        <w:trPr>
          <w:jc w:val="center"/>
        </w:trPr>
        <w:tc>
          <w:tcPr>
            <w:tcW w:w="2970" w:type="dxa"/>
          </w:tcPr>
          <w:p w14:paraId="5D35E10C"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num_classes_cs</w:t>
            </w:r>
            <w:proofErr w:type="spellEnd"/>
          </w:p>
        </w:tc>
        <w:tc>
          <w:tcPr>
            <w:tcW w:w="4500" w:type="dxa"/>
          </w:tcPr>
          <w:p w14:paraId="7707824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computer science classes offered.</w:t>
            </w:r>
          </w:p>
        </w:tc>
        <w:tc>
          <w:tcPr>
            <w:tcW w:w="1080" w:type="dxa"/>
            <w:tcBorders>
              <w:top w:val="nil"/>
              <w:bottom w:val="nil"/>
              <w:right w:val="nil"/>
            </w:tcBorders>
          </w:tcPr>
          <w:p w14:paraId="761E578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top w:val="nil"/>
              <w:left w:val="nil"/>
              <w:bottom w:val="nil"/>
              <w:right w:val="nil"/>
            </w:tcBorders>
          </w:tcPr>
          <w:p w14:paraId="0510BF9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top w:val="nil"/>
              <w:left w:val="nil"/>
              <w:bottom w:val="nil"/>
              <w:right w:val="nil"/>
            </w:tcBorders>
          </w:tcPr>
          <w:p w14:paraId="6E93E7B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47.00</w:t>
            </w:r>
          </w:p>
        </w:tc>
        <w:tc>
          <w:tcPr>
            <w:tcW w:w="1080" w:type="dxa"/>
            <w:tcBorders>
              <w:top w:val="nil"/>
              <w:left w:val="nil"/>
              <w:bottom w:val="nil"/>
            </w:tcBorders>
          </w:tcPr>
          <w:p w14:paraId="3B2C3C3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4.82</w:t>
            </w:r>
          </w:p>
        </w:tc>
        <w:tc>
          <w:tcPr>
            <w:tcW w:w="1080" w:type="dxa"/>
            <w:tcBorders>
              <w:top w:val="nil"/>
              <w:left w:val="nil"/>
              <w:bottom w:val="nil"/>
            </w:tcBorders>
            <w:vAlign w:val="center"/>
          </w:tcPr>
          <w:p w14:paraId="2B0F6F7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6.95</w:t>
            </w:r>
          </w:p>
        </w:tc>
      </w:tr>
      <w:tr w:rsidR="001B728D" w:rsidRPr="000B7CD9" w14:paraId="1437EFC1" w14:textId="77777777" w:rsidTr="009F058A">
        <w:trPr>
          <w:jc w:val="center"/>
        </w:trPr>
        <w:tc>
          <w:tcPr>
            <w:tcW w:w="2970" w:type="dxa"/>
          </w:tcPr>
          <w:p w14:paraId="27187AF4"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num_classes_physics</w:t>
            </w:r>
            <w:proofErr w:type="spellEnd"/>
          </w:p>
        </w:tc>
        <w:tc>
          <w:tcPr>
            <w:tcW w:w="4500" w:type="dxa"/>
          </w:tcPr>
          <w:p w14:paraId="7131B8A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physics classes offered.</w:t>
            </w:r>
          </w:p>
        </w:tc>
        <w:tc>
          <w:tcPr>
            <w:tcW w:w="1080" w:type="dxa"/>
            <w:tcBorders>
              <w:top w:val="nil"/>
            </w:tcBorders>
          </w:tcPr>
          <w:p w14:paraId="1B85F2F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top w:val="nil"/>
            </w:tcBorders>
          </w:tcPr>
          <w:p w14:paraId="7CC6401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Borders>
              <w:top w:val="nil"/>
            </w:tcBorders>
          </w:tcPr>
          <w:p w14:paraId="5C95E78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31.00</w:t>
            </w:r>
          </w:p>
        </w:tc>
        <w:tc>
          <w:tcPr>
            <w:tcW w:w="1080" w:type="dxa"/>
            <w:tcBorders>
              <w:top w:val="nil"/>
            </w:tcBorders>
          </w:tcPr>
          <w:p w14:paraId="7DE02E2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2.28</w:t>
            </w:r>
          </w:p>
        </w:tc>
        <w:tc>
          <w:tcPr>
            <w:tcW w:w="1080" w:type="dxa"/>
            <w:tcBorders>
              <w:top w:val="nil"/>
            </w:tcBorders>
            <w:vAlign w:val="center"/>
          </w:tcPr>
          <w:p w14:paraId="1C58C2D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3.69</w:t>
            </w:r>
          </w:p>
        </w:tc>
      </w:tr>
      <w:tr w:rsidR="001B728D" w:rsidRPr="000B7CD9" w14:paraId="3ED7F288" w14:textId="77777777" w:rsidTr="009F058A">
        <w:trPr>
          <w:jc w:val="center"/>
        </w:trPr>
        <w:tc>
          <w:tcPr>
            <w:tcW w:w="2970" w:type="dxa"/>
          </w:tcPr>
          <w:p w14:paraId="40F56853"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pct_enr_adv_math</w:t>
            </w:r>
            <w:proofErr w:type="spellEnd"/>
          </w:p>
        </w:tc>
        <w:tc>
          <w:tcPr>
            <w:tcW w:w="4500" w:type="dxa"/>
          </w:tcPr>
          <w:p w14:paraId="21B00E3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advanced math classes.</w:t>
            </w:r>
          </w:p>
        </w:tc>
        <w:tc>
          <w:tcPr>
            <w:tcW w:w="1080" w:type="dxa"/>
          </w:tcPr>
          <w:p w14:paraId="7A1F556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3.35</w:t>
            </w:r>
          </w:p>
        </w:tc>
        <w:tc>
          <w:tcPr>
            <w:tcW w:w="1080" w:type="dxa"/>
          </w:tcPr>
          <w:p w14:paraId="1F1C84C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0.46</w:t>
            </w:r>
          </w:p>
        </w:tc>
        <w:tc>
          <w:tcPr>
            <w:tcW w:w="1080" w:type="dxa"/>
          </w:tcPr>
          <w:p w14:paraId="241E5B8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30.97</w:t>
            </w:r>
          </w:p>
        </w:tc>
        <w:tc>
          <w:tcPr>
            <w:tcW w:w="1080" w:type="dxa"/>
          </w:tcPr>
          <w:p w14:paraId="3BA9007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8.47</w:t>
            </w:r>
          </w:p>
        </w:tc>
        <w:tc>
          <w:tcPr>
            <w:tcW w:w="1080" w:type="dxa"/>
            <w:vAlign w:val="center"/>
          </w:tcPr>
          <w:p w14:paraId="5D847DB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5.68</w:t>
            </w:r>
          </w:p>
        </w:tc>
      </w:tr>
      <w:tr w:rsidR="001B728D" w:rsidRPr="000B7CD9" w14:paraId="2EA067A6" w14:textId="77777777" w:rsidTr="009F058A">
        <w:trPr>
          <w:jc w:val="center"/>
        </w:trPr>
        <w:tc>
          <w:tcPr>
            <w:tcW w:w="2970" w:type="dxa"/>
          </w:tcPr>
          <w:p w14:paraId="7D801A7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pct_enr_algebra2</w:t>
            </w:r>
          </w:p>
        </w:tc>
        <w:tc>
          <w:tcPr>
            <w:tcW w:w="4500" w:type="dxa"/>
          </w:tcPr>
          <w:p w14:paraId="3683C62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Algebra 2 classes.</w:t>
            </w:r>
          </w:p>
        </w:tc>
        <w:tc>
          <w:tcPr>
            <w:tcW w:w="1080" w:type="dxa"/>
          </w:tcPr>
          <w:p w14:paraId="7856BE1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1.26</w:t>
            </w:r>
          </w:p>
        </w:tc>
        <w:tc>
          <w:tcPr>
            <w:tcW w:w="1080" w:type="dxa"/>
          </w:tcPr>
          <w:p w14:paraId="32C710A2"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3.01</w:t>
            </w:r>
          </w:p>
        </w:tc>
        <w:tc>
          <w:tcPr>
            <w:tcW w:w="1080" w:type="dxa"/>
          </w:tcPr>
          <w:p w14:paraId="19D5EB0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33.06</w:t>
            </w:r>
          </w:p>
        </w:tc>
        <w:tc>
          <w:tcPr>
            <w:tcW w:w="1080" w:type="dxa"/>
          </w:tcPr>
          <w:p w14:paraId="3EA511C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20.36</w:t>
            </w:r>
          </w:p>
        </w:tc>
        <w:tc>
          <w:tcPr>
            <w:tcW w:w="1080" w:type="dxa"/>
            <w:vAlign w:val="center"/>
          </w:tcPr>
          <w:p w14:paraId="5DA8C52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5.73</w:t>
            </w:r>
          </w:p>
        </w:tc>
      </w:tr>
      <w:tr w:rsidR="001B728D" w:rsidRPr="000B7CD9" w14:paraId="13246331" w14:textId="77777777" w:rsidTr="009F058A">
        <w:trPr>
          <w:jc w:val="center"/>
        </w:trPr>
        <w:tc>
          <w:tcPr>
            <w:tcW w:w="2970" w:type="dxa"/>
          </w:tcPr>
          <w:p w14:paraId="5AB51628"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pct_enr_calculus</w:t>
            </w:r>
            <w:proofErr w:type="spellEnd"/>
          </w:p>
        </w:tc>
        <w:tc>
          <w:tcPr>
            <w:tcW w:w="4500" w:type="dxa"/>
          </w:tcPr>
          <w:p w14:paraId="701FE7F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calculus classes.</w:t>
            </w:r>
          </w:p>
        </w:tc>
        <w:tc>
          <w:tcPr>
            <w:tcW w:w="1080" w:type="dxa"/>
          </w:tcPr>
          <w:p w14:paraId="13134DC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20.50</w:t>
            </w:r>
          </w:p>
        </w:tc>
        <w:tc>
          <w:tcPr>
            <w:tcW w:w="1080" w:type="dxa"/>
          </w:tcPr>
          <w:p w14:paraId="669C34D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0.10</w:t>
            </w:r>
          </w:p>
        </w:tc>
        <w:tc>
          <w:tcPr>
            <w:tcW w:w="1080" w:type="dxa"/>
          </w:tcPr>
          <w:p w14:paraId="11A422F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17.28</w:t>
            </w:r>
          </w:p>
        </w:tc>
        <w:tc>
          <w:tcPr>
            <w:tcW w:w="1080" w:type="dxa"/>
          </w:tcPr>
          <w:p w14:paraId="60DEA8D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2.31</w:t>
            </w:r>
          </w:p>
        </w:tc>
        <w:tc>
          <w:tcPr>
            <w:tcW w:w="1080" w:type="dxa"/>
            <w:vAlign w:val="center"/>
          </w:tcPr>
          <w:p w14:paraId="5900EA2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2.18</w:t>
            </w:r>
          </w:p>
        </w:tc>
      </w:tr>
      <w:tr w:rsidR="001B728D" w:rsidRPr="000B7CD9" w14:paraId="32E39FEA" w14:textId="77777777" w:rsidTr="009F058A">
        <w:trPr>
          <w:jc w:val="center"/>
        </w:trPr>
        <w:tc>
          <w:tcPr>
            <w:tcW w:w="2970" w:type="dxa"/>
          </w:tcPr>
          <w:p w14:paraId="75FE1408"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pct_enr_biology</w:t>
            </w:r>
            <w:proofErr w:type="spellEnd"/>
          </w:p>
        </w:tc>
        <w:tc>
          <w:tcPr>
            <w:tcW w:w="4500" w:type="dxa"/>
          </w:tcPr>
          <w:p w14:paraId="2F5370D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biology classes.</w:t>
            </w:r>
          </w:p>
        </w:tc>
        <w:tc>
          <w:tcPr>
            <w:tcW w:w="1080" w:type="dxa"/>
          </w:tcPr>
          <w:p w14:paraId="2F1BC9C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1.67</w:t>
            </w:r>
          </w:p>
        </w:tc>
        <w:tc>
          <w:tcPr>
            <w:tcW w:w="1080" w:type="dxa"/>
          </w:tcPr>
          <w:p w14:paraId="5818DEE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3.34</w:t>
            </w:r>
          </w:p>
        </w:tc>
        <w:tc>
          <w:tcPr>
            <w:tcW w:w="1080" w:type="dxa"/>
          </w:tcPr>
          <w:p w14:paraId="4D2C880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38.36</w:t>
            </w:r>
          </w:p>
        </w:tc>
        <w:tc>
          <w:tcPr>
            <w:tcW w:w="1080" w:type="dxa"/>
          </w:tcPr>
          <w:p w14:paraId="406A75C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23.60</w:t>
            </w:r>
          </w:p>
        </w:tc>
        <w:tc>
          <w:tcPr>
            <w:tcW w:w="1080" w:type="dxa"/>
            <w:vAlign w:val="center"/>
          </w:tcPr>
          <w:p w14:paraId="4F34AD2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7.05</w:t>
            </w:r>
          </w:p>
        </w:tc>
      </w:tr>
      <w:tr w:rsidR="001B728D" w:rsidRPr="000B7CD9" w14:paraId="0B5F525B" w14:textId="77777777" w:rsidTr="009F058A">
        <w:trPr>
          <w:jc w:val="center"/>
        </w:trPr>
        <w:tc>
          <w:tcPr>
            <w:tcW w:w="2970" w:type="dxa"/>
          </w:tcPr>
          <w:p w14:paraId="617A9951"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pct_enr_chemistry</w:t>
            </w:r>
            <w:proofErr w:type="spellEnd"/>
          </w:p>
        </w:tc>
        <w:tc>
          <w:tcPr>
            <w:tcW w:w="4500" w:type="dxa"/>
          </w:tcPr>
          <w:p w14:paraId="375892F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chemistry classes.</w:t>
            </w:r>
          </w:p>
        </w:tc>
        <w:tc>
          <w:tcPr>
            <w:tcW w:w="1080" w:type="dxa"/>
          </w:tcPr>
          <w:p w14:paraId="5C09EB3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1.26</w:t>
            </w:r>
          </w:p>
        </w:tc>
        <w:tc>
          <w:tcPr>
            <w:tcW w:w="1080" w:type="dxa"/>
          </w:tcPr>
          <w:p w14:paraId="0391514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1.53</w:t>
            </w:r>
          </w:p>
        </w:tc>
        <w:tc>
          <w:tcPr>
            <w:tcW w:w="1080" w:type="dxa"/>
          </w:tcPr>
          <w:p w14:paraId="78E808C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33.51</w:t>
            </w:r>
          </w:p>
        </w:tc>
        <w:tc>
          <w:tcPr>
            <w:tcW w:w="1080" w:type="dxa"/>
          </w:tcPr>
          <w:p w14:paraId="78A4A68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11.67</w:t>
            </w:r>
          </w:p>
        </w:tc>
        <w:tc>
          <w:tcPr>
            <w:tcW w:w="1080" w:type="dxa"/>
            <w:vAlign w:val="center"/>
          </w:tcPr>
          <w:p w14:paraId="5F95A81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5.87</w:t>
            </w:r>
          </w:p>
        </w:tc>
      </w:tr>
      <w:tr w:rsidR="001B728D" w:rsidRPr="000B7CD9" w14:paraId="4DAEBA1B" w14:textId="77777777" w:rsidTr="009F058A">
        <w:trPr>
          <w:jc w:val="center"/>
        </w:trPr>
        <w:tc>
          <w:tcPr>
            <w:tcW w:w="2970" w:type="dxa"/>
          </w:tcPr>
          <w:p w14:paraId="62E71D29"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pct_enr_geometry</w:t>
            </w:r>
            <w:proofErr w:type="spellEnd"/>
          </w:p>
        </w:tc>
        <w:tc>
          <w:tcPr>
            <w:tcW w:w="4500" w:type="dxa"/>
          </w:tcPr>
          <w:p w14:paraId="57569F4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geometry classes.</w:t>
            </w:r>
          </w:p>
        </w:tc>
        <w:tc>
          <w:tcPr>
            <w:tcW w:w="1080" w:type="dxa"/>
          </w:tcPr>
          <w:p w14:paraId="3128A05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0.84</w:t>
            </w:r>
          </w:p>
        </w:tc>
        <w:tc>
          <w:tcPr>
            <w:tcW w:w="1080" w:type="dxa"/>
          </w:tcPr>
          <w:p w14:paraId="7E9CCD2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4.65</w:t>
            </w:r>
          </w:p>
        </w:tc>
        <w:tc>
          <w:tcPr>
            <w:tcW w:w="1080" w:type="dxa"/>
          </w:tcPr>
          <w:p w14:paraId="607721F0" w14:textId="63D61358"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100</w:t>
            </w:r>
            <w:r w:rsidR="000B7CD9">
              <w:rPr>
                <w:rFonts w:ascii="Times New Roman" w:hAnsi="Times New Roman" w:cs="Times New Roman"/>
                <w:sz w:val="20"/>
                <w:szCs w:val="20"/>
              </w:rPr>
              <w:t>.00</w:t>
            </w:r>
          </w:p>
        </w:tc>
        <w:tc>
          <w:tcPr>
            <w:tcW w:w="1080" w:type="dxa"/>
          </w:tcPr>
          <w:p w14:paraId="555DED0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22.80</w:t>
            </w:r>
          </w:p>
        </w:tc>
        <w:tc>
          <w:tcPr>
            <w:tcW w:w="1080" w:type="dxa"/>
            <w:vAlign w:val="center"/>
          </w:tcPr>
          <w:p w14:paraId="0F5BBEA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8.08</w:t>
            </w:r>
          </w:p>
        </w:tc>
      </w:tr>
      <w:tr w:rsidR="001B728D" w:rsidRPr="000B7CD9" w14:paraId="24DF6141" w14:textId="77777777" w:rsidTr="009F058A">
        <w:trPr>
          <w:jc w:val="center"/>
        </w:trPr>
        <w:tc>
          <w:tcPr>
            <w:tcW w:w="2970" w:type="dxa"/>
          </w:tcPr>
          <w:p w14:paraId="43266DAF"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pct_enr_cs</w:t>
            </w:r>
            <w:proofErr w:type="spellEnd"/>
          </w:p>
        </w:tc>
        <w:tc>
          <w:tcPr>
            <w:tcW w:w="4500" w:type="dxa"/>
          </w:tcPr>
          <w:p w14:paraId="344A9E2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CS classes.</w:t>
            </w:r>
          </w:p>
        </w:tc>
        <w:tc>
          <w:tcPr>
            <w:tcW w:w="1080" w:type="dxa"/>
          </w:tcPr>
          <w:p w14:paraId="2DA308C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26.36</w:t>
            </w:r>
          </w:p>
        </w:tc>
        <w:tc>
          <w:tcPr>
            <w:tcW w:w="1080" w:type="dxa"/>
          </w:tcPr>
          <w:p w14:paraId="629396D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0.05</w:t>
            </w:r>
          </w:p>
        </w:tc>
        <w:tc>
          <w:tcPr>
            <w:tcW w:w="1080" w:type="dxa"/>
          </w:tcPr>
          <w:p w14:paraId="530FE32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42.58</w:t>
            </w:r>
          </w:p>
        </w:tc>
        <w:tc>
          <w:tcPr>
            <w:tcW w:w="1080" w:type="dxa"/>
          </w:tcPr>
          <w:p w14:paraId="2389DF2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4.77</w:t>
            </w:r>
          </w:p>
        </w:tc>
        <w:tc>
          <w:tcPr>
            <w:tcW w:w="1080" w:type="dxa"/>
            <w:vAlign w:val="center"/>
          </w:tcPr>
          <w:p w14:paraId="7B41C2E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5.37</w:t>
            </w:r>
          </w:p>
        </w:tc>
      </w:tr>
      <w:tr w:rsidR="001B728D" w:rsidRPr="000B7CD9" w14:paraId="2BB5DF87" w14:textId="77777777" w:rsidTr="009F058A">
        <w:trPr>
          <w:jc w:val="center"/>
        </w:trPr>
        <w:tc>
          <w:tcPr>
            <w:tcW w:w="2970" w:type="dxa"/>
          </w:tcPr>
          <w:p w14:paraId="28A2B0CA"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pct_enr_physics</w:t>
            </w:r>
            <w:proofErr w:type="spellEnd"/>
          </w:p>
        </w:tc>
        <w:tc>
          <w:tcPr>
            <w:tcW w:w="4500" w:type="dxa"/>
          </w:tcPr>
          <w:p w14:paraId="0464F56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physics classes.</w:t>
            </w:r>
          </w:p>
        </w:tc>
        <w:tc>
          <w:tcPr>
            <w:tcW w:w="1080" w:type="dxa"/>
          </w:tcPr>
          <w:p w14:paraId="30261BF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35.15</w:t>
            </w:r>
          </w:p>
        </w:tc>
        <w:tc>
          <w:tcPr>
            <w:tcW w:w="1080" w:type="dxa"/>
          </w:tcPr>
          <w:p w14:paraId="410CE15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0.05</w:t>
            </w:r>
          </w:p>
        </w:tc>
        <w:tc>
          <w:tcPr>
            <w:tcW w:w="1080" w:type="dxa"/>
          </w:tcPr>
          <w:p w14:paraId="262DF9C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18.75</w:t>
            </w:r>
          </w:p>
        </w:tc>
        <w:tc>
          <w:tcPr>
            <w:tcW w:w="1080" w:type="dxa"/>
          </w:tcPr>
          <w:p w14:paraId="4CD36CE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2.65</w:t>
            </w:r>
          </w:p>
        </w:tc>
        <w:tc>
          <w:tcPr>
            <w:tcW w:w="1080" w:type="dxa"/>
            <w:vAlign w:val="center"/>
          </w:tcPr>
          <w:p w14:paraId="6606BE0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3.52</w:t>
            </w:r>
          </w:p>
        </w:tc>
      </w:tr>
      <w:tr w:rsidR="001B728D" w:rsidRPr="000B7CD9" w14:paraId="6FE4FC15" w14:textId="77777777" w:rsidTr="009F058A">
        <w:trPr>
          <w:jc w:val="center"/>
        </w:trPr>
        <w:tc>
          <w:tcPr>
            <w:tcW w:w="2970" w:type="dxa"/>
          </w:tcPr>
          <w:p w14:paraId="7B4CF99C"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pct_enr_ap</w:t>
            </w:r>
            <w:proofErr w:type="spellEnd"/>
          </w:p>
        </w:tc>
        <w:tc>
          <w:tcPr>
            <w:tcW w:w="4500" w:type="dxa"/>
          </w:tcPr>
          <w:p w14:paraId="5310BF0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at least one AP course.</w:t>
            </w:r>
          </w:p>
        </w:tc>
        <w:tc>
          <w:tcPr>
            <w:tcW w:w="1080" w:type="dxa"/>
          </w:tcPr>
          <w:p w14:paraId="447D0B7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2.09</w:t>
            </w:r>
          </w:p>
        </w:tc>
        <w:tc>
          <w:tcPr>
            <w:tcW w:w="1080" w:type="dxa"/>
          </w:tcPr>
          <w:p w14:paraId="0C2EB11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0.18</w:t>
            </w:r>
          </w:p>
        </w:tc>
        <w:tc>
          <w:tcPr>
            <w:tcW w:w="1080" w:type="dxa"/>
          </w:tcPr>
          <w:p w14:paraId="764CDB2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56.87</w:t>
            </w:r>
          </w:p>
        </w:tc>
        <w:tc>
          <w:tcPr>
            <w:tcW w:w="1080" w:type="dxa"/>
          </w:tcPr>
          <w:p w14:paraId="7D7F730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15.26</w:t>
            </w:r>
          </w:p>
        </w:tc>
        <w:tc>
          <w:tcPr>
            <w:tcW w:w="1080" w:type="dxa"/>
            <w:vAlign w:val="center"/>
          </w:tcPr>
          <w:p w14:paraId="1D6CBEE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10.85</w:t>
            </w:r>
          </w:p>
        </w:tc>
      </w:tr>
      <w:tr w:rsidR="001B728D" w:rsidRPr="000B7CD9" w14:paraId="44694AC6" w14:textId="77777777" w:rsidTr="009F058A">
        <w:trPr>
          <w:jc w:val="center"/>
        </w:trPr>
        <w:tc>
          <w:tcPr>
            <w:tcW w:w="2970" w:type="dxa"/>
          </w:tcPr>
          <w:p w14:paraId="3EA7B31B"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pct_enr_ap_math</w:t>
            </w:r>
            <w:proofErr w:type="spellEnd"/>
          </w:p>
        </w:tc>
        <w:tc>
          <w:tcPr>
            <w:tcW w:w="4500" w:type="dxa"/>
          </w:tcPr>
          <w:p w14:paraId="428EE7D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AP mathematics courses.</w:t>
            </w:r>
          </w:p>
        </w:tc>
        <w:tc>
          <w:tcPr>
            <w:tcW w:w="1080" w:type="dxa"/>
          </w:tcPr>
          <w:p w14:paraId="7F61764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15.06</w:t>
            </w:r>
          </w:p>
        </w:tc>
        <w:tc>
          <w:tcPr>
            <w:tcW w:w="1080" w:type="dxa"/>
          </w:tcPr>
          <w:p w14:paraId="5902703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0.13</w:t>
            </w:r>
          </w:p>
        </w:tc>
        <w:tc>
          <w:tcPr>
            <w:tcW w:w="1080" w:type="dxa"/>
          </w:tcPr>
          <w:p w14:paraId="4D977DF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21.87</w:t>
            </w:r>
          </w:p>
        </w:tc>
        <w:tc>
          <w:tcPr>
            <w:tcW w:w="1080" w:type="dxa"/>
          </w:tcPr>
          <w:p w14:paraId="47C7547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3.67</w:t>
            </w:r>
          </w:p>
        </w:tc>
        <w:tc>
          <w:tcPr>
            <w:tcW w:w="1080" w:type="dxa"/>
            <w:vAlign w:val="center"/>
          </w:tcPr>
          <w:p w14:paraId="4500A29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3.39</w:t>
            </w:r>
          </w:p>
        </w:tc>
      </w:tr>
      <w:tr w:rsidR="001B728D" w:rsidRPr="000B7CD9" w14:paraId="73054F3E" w14:textId="77777777" w:rsidTr="009F058A">
        <w:trPr>
          <w:jc w:val="center"/>
        </w:trPr>
        <w:tc>
          <w:tcPr>
            <w:tcW w:w="2970" w:type="dxa"/>
          </w:tcPr>
          <w:p w14:paraId="16666D51"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pct_enr_ap_science</w:t>
            </w:r>
            <w:proofErr w:type="spellEnd"/>
          </w:p>
        </w:tc>
        <w:tc>
          <w:tcPr>
            <w:tcW w:w="4500" w:type="dxa"/>
          </w:tcPr>
          <w:p w14:paraId="727C78A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AP science courses.</w:t>
            </w:r>
          </w:p>
        </w:tc>
        <w:tc>
          <w:tcPr>
            <w:tcW w:w="1080" w:type="dxa"/>
          </w:tcPr>
          <w:p w14:paraId="2C2E137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23.01</w:t>
            </w:r>
          </w:p>
        </w:tc>
        <w:tc>
          <w:tcPr>
            <w:tcW w:w="1080" w:type="dxa"/>
          </w:tcPr>
          <w:p w14:paraId="7EAD598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0.09</w:t>
            </w:r>
          </w:p>
        </w:tc>
        <w:tc>
          <w:tcPr>
            <w:tcW w:w="1080" w:type="dxa"/>
          </w:tcPr>
          <w:p w14:paraId="5B506AB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35.80</w:t>
            </w:r>
          </w:p>
        </w:tc>
        <w:tc>
          <w:tcPr>
            <w:tcW w:w="1080" w:type="dxa"/>
          </w:tcPr>
          <w:p w14:paraId="371A735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2.84</w:t>
            </w:r>
          </w:p>
        </w:tc>
        <w:tc>
          <w:tcPr>
            <w:tcW w:w="1080" w:type="dxa"/>
            <w:vAlign w:val="center"/>
          </w:tcPr>
          <w:p w14:paraId="0CC8161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3.83</w:t>
            </w:r>
          </w:p>
        </w:tc>
      </w:tr>
      <w:tr w:rsidR="001B728D" w:rsidRPr="000B7CD9" w14:paraId="4C03E560" w14:textId="77777777" w:rsidTr="009F058A">
        <w:trPr>
          <w:jc w:val="center"/>
        </w:trPr>
        <w:tc>
          <w:tcPr>
            <w:tcW w:w="2970" w:type="dxa"/>
          </w:tcPr>
          <w:p w14:paraId="2DBDEF44"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pct_enr_ap_cs</w:t>
            </w:r>
            <w:proofErr w:type="spellEnd"/>
          </w:p>
        </w:tc>
        <w:tc>
          <w:tcPr>
            <w:tcW w:w="4500" w:type="dxa"/>
          </w:tcPr>
          <w:p w14:paraId="6A90D33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enrolled in AP CS courses.</w:t>
            </w:r>
          </w:p>
        </w:tc>
        <w:tc>
          <w:tcPr>
            <w:tcW w:w="1080" w:type="dxa"/>
          </w:tcPr>
          <w:p w14:paraId="5103410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49.79</w:t>
            </w:r>
          </w:p>
        </w:tc>
        <w:tc>
          <w:tcPr>
            <w:tcW w:w="1080" w:type="dxa"/>
          </w:tcPr>
          <w:p w14:paraId="04E2091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0.05</w:t>
            </w:r>
          </w:p>
        </w:tc>
        <w:tc>
          <w:tcPr>
            <w:tcW w:w="1080" w:type="dxa"/>
          </w:tcPr>
          <w:p w14:paraId="6E83EB5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19.75</w:t>
            </w:r>
          </w:p>
        </w:tc>
        <w:tc>
          <w:tcPr>
            <w:tcW w:w="1080" w:type="dxa"/>
          </w:tcPr>
          <w:p w14:paraId="55E80142"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2.02</w:t>
            </w:r>
          </w:p>
        </w:tc>
        <w:tc>
          <w:tcPr>
            <w:tcW w:w="1080" w:type="dxa"/>
            <w:vAlign w:val="center"/>
          </w:tcPr>
          <w:p w14:paraId="408511A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3.02</w:t>
            </w:r>
          </w:p>
        </w:tc>
      </w:tr>
      <w:tr w:rsidR="001B728D" w:rsidRPr="000B7CD9" w14:paraId="6D0412B9" w14:textId="77777777" w:rsidTr="009F058A">
        <w:trPr>
          <w:jc w:val="center"/>
        </w:trPr>
        <w:tc>
          <w:tcPr>
            <w:tcW w:w="2970" w:type="dxa"/>
          </w:tcPr>
          <w:p w14:paraId="4C83714F"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pct_enr_dual</w:t>
            </w:r>
            <w:proofErr w:type="spellEnd"/>
          </w:p>
        </w:tc>
        <w:tc>
          <w:tcPr>
            <w:tcW w:w="4500" w:type="dxa"/>
          </w:tcPr>
          <w:p w14:paraId="699ED0F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in dual enrollment programs.</w:t>
            </w:r>
          </w:p>
        </w:tc>
        <w:tc>
          <w:tcPr>
            <w:tcW w:w="1080" w:type="dxa"/>
          </w:tcPr>
          <w:p w14:paraId="0CC2A75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19.67</w:t>
            </w:r>
          </w:p>
        </w:tc>
        <w:tc>
          <w:tcPr>
            <w:tcW w:w="1080" w:type="dxa"/>
          </w:tcPr>
          <w:p w14:paraId="229961E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0.07</w:t>
            </w:r>
          </w:p>
        </w:tc>
        <w:tc>
          <w:tcPr>
            <w:tcW w:w="1080" w:type="dxa"/>
          </w:tcPr>
          <w:p w14:paraId="714DE3C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99.51</w:t>
            </w:r>
          </w:p>
        </w:tc>
        <w:tc>
          <w:tcPr>
            <w:tcW w:w="1080" w:type="dxa"/>
          </w:tcPr>
          <w:p w14:paraId="542976E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10.69</w:t>
            </w:r>
          </w:p>
        </w:tc>
        <w:tc>
          <w:tcPr>
            <w:tcW w:w="1080" w:type="dxa"/>
            <w:vAlign w:val="center"/>
          </w:tcPr>
          <w:p w14:paraId="55C4768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11.56</w:t>
            </w:r>
          </w:p>
        </w:tc>
      </w:tr>
      <w:tr w:rsidR="001B728D" w:rsidRPr="000B7CD9" w14:paraId="0E5574CB" w14:textId="77777777" w:rsidTr="009F058A">
        <w:trPr>
          <w:jc w:val="center"/>
        </w:trPr>
        <w:tc>
          <w:tcPr>
            <w:tcW w:w="2970" w:type="dxa"/>
          </w:tcPr>
          <w:p w14:paraId="504F42CF"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sat_participation</w:t>
            </w:r>
            <w:proofErr w:type="spellEnd"/>
          </w:p>
        </w:tc>
        <w:tc>
          <w:tcPr>
            <w:tcW w:w="4500" w:type="dxa"/>
          </w:tcPr>
          <w:p w14:paraId="0BC2E5E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participating in the SAT.</w:t>
            </w:r>
          </w:p>
        </w:tc>
        <w:tc>
          <w:tcPr>
            <w:tcW w:w="1080" w:type="dxa"/>
          </w:tcPr>
          <w:p w14:paraId="4EFB900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23D27CE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0.05</w:t>
            </w:r>
          </w:p>
        </w:tc>
        <w:tc>
          <w:tcPr>
            <w:tcW w:w="1080" w:type="dxa"/>
          </w:tcPr>
          <w:p w14:paraId="5D0F2BA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0.96</w:t>
            </w:r>
          </w:p>
        </w:tc>
        <w:tc>
          <w:tcPr>
            <w:tcW w:w="1080" w:type="dxa"/>
          </w:tcPr>
          <w:p w14:paraId="2A0B395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0.23</w:t>
            </w:r>
          </w:p>
        </w:tc>
        <w:tc>
          <w:tcPr>
            <w:tcW w:w="1080" w:type="dxa"/>
            <w:vAlign w:val="center"/>
          </w:tcPr>
          <w:p w14:paraId="0BA32F2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0.16</w:t>
            </w:r>
          </w:p>
        </w:tc>
      </w:tr>
      <w:tr w:rsidR="000B7CD9" w:rsidRPr="000B7CD9" w14:paraId="2D44E930" w14:textId="77777777" w:rsidTr="009F058A">
        <w:trPr>
          <w:jc w:val="center"/>
        </w:trPr>
        <w:tc>
          <w:tcPr>
            <w:tcW w:w="2970" w:type="dxa"/>
          </w:tcPr>
          <w:p w14:paraId="7F6E3FFF" w14:textId="77777777" w:rsidR="000B7CD9" w:rsidRPr="000B7CD9" w:rsidRDefault="000B7CD9" w:rsidP="000B7CD9">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sat_performance</w:t>
            </w:r>
            <w:proofErr w:type="spellEnd"/>
          </w:p>
        </w:tc>
        <w:tc>
          <w:tcPr>
            <w:tcW w:w="4500" w:type="dxa"/>
          </w:tcPr>
          <w:p w14:paraId="439A18F1" w14:textId="77777777" w:rsidR="000B7CD9" w:rsidRPr="000B7CD9" w:rsidRDefault="000B7CD9" w:rsidP="000B7CD9">
            <w:pPr>
              <w:jc w:val="center"/>
              <w:rPr>
                <w:rFonts w:ascii="Times New Roman" w:hAnsi="Times New Roman" w:cs="Times New Roman"/>
                <w:sz w:val="20"/>
                <w:szCs w:val="20"/>
              </w:rPr>
            </w:pPr>
            <w:r w:rsidRPr="000B7CD9">
              <w:rPr>
                <w:rFonts w:ascii="Times New Roman" w:hAnsi="Times New Roman" w:cs="Times New Roman"/>
                <w:sz w:val="20"/>
                <w:szCs w:val="20"/>
              </w:rPr>
              <w:t>Average SAT score among participating students.</w:t>
            </w:r>
          </w:p>
        </w:tc>
        <w:tc>
          <w:tcPr>
            <w:tcW w:w="1080" w:type="dxa"/>
          </w:tcPr>
          <w:p w14:paraId="09BBA068" w14:textId="77777777" w:rsidR="000B7CD9" w:rsidRPr="000B7CD9" w:rsidRDefault="000B7CD9" w:rsidP="000B7CD9">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7E057ADD" w14:textId="5D386CB3" w:rsidR="000B7CD9" w:rsidRPr="000B7CD9" w:rsidRDefault="000B7CD9" w:rsidP="000B7CD9">
            <w:pPr>
              <w:jc w:val="center"/>
              <w:rPr>
                <w:rFonts w:ascii="Times New Roman" w:hAnsi="Times New Roman" w:cs="Times New Roman"/>
                <w:sz w:val="20"/>
                <w:szCs w:val="20"/>
              </w:rPr>
            </w:pPr>
            <w:r w:rsidRPr="000B7CD9">
              <w:rPr>
                <w:rFonts w:ascii="Times New Roman" w:hAnsi="Times New Roman" w:cs="Times New Roman"/>
                <w:sz w:val="20"/>
                <w:szCs w:val="20"/>
              </w:rPr>
              <w:t>838.50</w:t>
            </w:r>
          </w:p>
        </w:tc>
        <w:tc>
          <w:tcPr>
            <w:tcW w:w="1080" w:type="dxa"/>
          </w:tcPr>
          <w:p w14:paraId="33475C42" w14:textId="49F19544" w:rsidR="000B7CD9" w:rsidRPr="000B7CD9" w:rsidRDefault="000B7CD9" w:rsidP="000B7CD9">
            <w:pPr>
              <w:jc w:val="center"/>
              <w:rPr>
                <w:rFonts w:ascii="Times New Roman" w:hAnsi="Times New Roman" w:cs="Times New Roman"/>
                <w:sz w:val="20"/>
                <w:szCs w:val="20"/>
              </w:rPr>
            </w:pPr>
            <w:r w:rsidRPr="000B7CD9">
              <w:rPr>
                <w:rFonts w:ascii="Times New Roman" w:hAnsi="Times New Roman" w:cs="Times New Roman"/>
                <w:sz w:val="20"/>
                <w:szCs w:val="20"/>
              </w:rPr>
              <w:t>1328.67</w:t>
            </w:r>
          </w:p>
        </w:tc>
        <w:tc>
          <w:tcPr>
            <w:tcW w:w="1080" w:type="dxa"/>
          </w:tcPr>
          <w:p w14:paraId="53AB2013" w14:textId="755D2620" w:rsidR="000B7CD9" w:rsidRPr="000B7CD9" w:rsidRDefault="000B7CD9" w:rsidP="000B7CD9">
            <w:pPr>
              <w:jc w:val="center"/>
              <w:rPr>
                <w:rFonts w:ascii="Times New Roman" w:hAnsi="Times New Roman" w:cs="Times New Roman"/>
                <w:sz w:val="20"/>
                <w:szCs w:val="20"/>
              </w:rPr>
            </w:pPr>
            <w:r w:rsidRPr="000B7CD9">
              <w:rPr>
                <w:rFonts w:ascii="Times New Roman" w:hAnsi="Times New Roman" w:cs="Times New Roman"/>
                <w:sz w:val="20"/>
                <w:szCs w:val="20"/>
              </w:rPr>
              <w:t>1095.63</w:t>
            </w:r>
          </w:p>
        </w:tc>
        <w:tc>
          <w:tcPr>
            <w:tcW w:w="1080" w:type="dxa"/>
            <w:vAlign w:val="center"/>
          </w:tcPr>
          <w:p w14:paraId="66FA5968" w14:textId="77777777" w:rsidR="000B7CD9" w:rsidRPr="000B7CD9" w:rsidRDefault="000B7CD9" w:rsidP="000B7CD9">
            <w:pPr>
              <w:jc w:val="center"/>
              <w:rPr>
                <w:rFonts w:ascii="Times New Roman" w:hAnsi="Times New Roman" w:cs="Times New Roman"/>
                <w:sz w:val="20"/>
                <w:szCs w:val="20"/>
              </w:rPr>
            </w:pPr>
            <w:r w:rsidRPr="000B7CD9">
              <w:rPr>
                <w:rFonts w:ascii="Times New Roman" w:hAnsi="Times New Roman" w:cs="Times New Roman"/>
                <w:sz w:val="20"/>
                <w:szCs w:val="20"/>
              </w:rPr>
              <w:t>76.56</w:t>
            </w:r>
          </w:p>
        </w:tc>
      </w:tr>
      <w:tr w:rsidR="001B728D" w:rsidRPr="000B7CD9" w14:paraId="798DA1C2" w14:textId="77777777" w:rsidTr="009F058A">
        <w:trPr>
          <w:jc w:val="center"/>
        </w:trPr>
        <w:tc>
          <w:tcPr>
            <w:tcW w:w="2970" w:type="dxa"/>
          </w:tcPr>
          <w:p w14:paraId="47B29A53"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ap_participation</w:t>
            </w:r>
            <w:proofErr w:type="spellEnd"/>
          </w:p>
        </w:tc>
        <w:tc>
          <w:tcPr>
            <w:tcW w:w="4500" w:type="dxa"/>
          </w:tcPr>
          <w:p w14:paraId="29D72B5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students participating in AP exams.</w:t>
            </w:r>
          </w:p>
        </w:tc>
        <w:tc>
          <w:tcPr>
            <w:tcW w:w="1080" w:type="dxa"/>
          </w:tcPr>
          <w:p w14:paraId="3EA72DA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2E8F599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0.01</w:t>
            </w:r>
          </w:p>
        </w:tc>
        <w:tc>
          <w:tcPr>
            <w:tcW w:w="1080" w:type="dxa"/>
          </w:tcPr>
          <w:p w14:paraId="4C6C4A8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0.57</w:t>
            </w:r>
          </w:p>
        </w:tc>
        <w:tc>
          <w:tcPr>
            <w:tcW w:w="1080" w:type="dxa"/>
          </w:tcPr>
          <w:p w14:paraId="7174B72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0.16</w:t>
            </w:r>
          </w:p>
        </w:tc>
        <w:tc>
          <w:tcPr>
            <w:tcW w:w="1080" w:type="dxa"/>
            <w:vAlign w:val="center"/>
          </w:tcPr>
          <w:p w14:paraId="25A301E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0.11</w:t>
            </w:r>
          </w:p>
        </w:tc>
      </w:tr>
      <w:tr w:rsidR="001B728D" w:rsidRPr="000B7CD9" w14:paraId="0CB6897F" w14:textId="77777777" w:rsidTr="009F058A">
        <w:trPr>
          <w:jc w:val="center"/>
        </w:trPr>
        <w:tc>
          <w:tcPr>
            <w:tcW w:w="2970" w:type="dxa"/>
          </w:tcPr>
          <w:p w14:paraId="49838650"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ap_performance</w:t>
            </w:r>
            <w:proofErr w:type="spellEnd"/>
          </w:p>
        </w:tc>
        <w:tc>
          <w:tcPr>
            <w:tcW w:w="4500" w:type="dxa"/>
          </w:tcPr>
          <w:p w14:paraId="55C4880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AP Exam scores of 3 or above.</w:t>
            </w:r>
          </w:p>
        </w:tc>
        <w:tc>
          <w:tcPr>
            <w:tcW w:w="1080" w:type="dxa"/>
          </w:tcPr>
          <w:p w14:paraId="6FA41E2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0625D0A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0.05</w:t>
            </w:r>
          </w:p>
        </w:tc>
        <w:tc>
          <w:tcPr>
            <w:tcW w:w="1080" w:type="dxa"/>
          </w:tcPr>
          <w:p w14:paraId="73C274B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0.86</w:t>
            </w:r>
          </w:p>
        </w:tc>
        <w:tc>
          <w:tcPr>
            <w:tcW w:w="1080" w:type="dxa"/>
          </w:tcPr>
          <w:p w14:paraId="0603F5A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0.46</w:t>
            </w:r>
          </w:p>
        </w:tc>
        <w:tc>
          <w:tcPr>
            <w:tcW w:w="1080" w:type="dxa"/>
            <w:vAlign w:val="center"/>
          </w:tcPr>
          <w:p w14:paraId="60F406D2"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0.18</w:t>
            </w:r>
          </w:p>
        </w:tc>
      </w:tr>
      <w:tr w:rsidR="001B728D" w:rsidRPr="000B7CD9" w14:paraId="58C265E8" w14:textId="77777777" w:rsidTr="009F058A">
        <w:trPr>
          <w:jc w:val="center"/>
        </w:trPr>
        <w:tc>
          <w:tcPr>
            <w:tcW w:w="2970" w:type="dxa"/>
          </w:tcPr>
          <w:p w14:paraId="51C5937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graduation_rate_4yr</w:t>
            </w:r>
          </w:p>
        </w:tc>
        <w:tc>
          <w:tcPr>
            <w:tcW w:w="4500" w:type="dxa"/>
          </w:tcPr>
          <w:p w14:paraId="23B8381E"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Four-year high school graduation rate.</w:t>
            </w:r>
          </w:p>
        </w:tc>
        <w:tc>
          <w:tcPr>
            <w:tcW w:w="1080" w:type="dxa"/>
          </w:tcPr>
          <w:p w14:paraId="6D4DAD9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580959C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54.27</w:t>
            </w:r>
          </w:p>
        </w:tc>
        <w:tc>
          <w:tcPr>
            <w:tcW w:w="1080" w:type="dxa"/>
          </w:tcPr>
          <w:p w14:paraId="79C57AD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95.00</w:t>
            </w:r>
          </w:p>
        </w:tc>
        <w:tc>
          <w:tcPr>
            <w:tcW w:w="1080" w:type="dxa"/>
          </w:tcPr>
          <w:p w14:paraId="28072EC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87.27</w:t>
            </w:r>
          </w:p>
        </w:tc>
        <w:tc>
          <w:tcPr>
            <w:tcW w:w="1080" w:type="dxa"/>
            <w:vAlign w:val="center"/>
          </w:tcPr>
          <w:p w14:paraId="369A4E8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6.26</w:t>
            </w:r>
          </w:p>
        </w:tc>
      </w:tr>
      <w:tr w:rsidR="001B728D" w:rsidRPr="000B7CD9" w14:paraId="31C72AB9" w14:textId="77777777" w:rsidTr="009F058A">
        <w:trPr>
          <w:jc w:val="center"/>
        </w:trPr>
        <w:tc>
          <w:tcPr>
            <w:tcW w:w="2970" w:type="dxa"/>
          </w:tcPr>
          <w:p w14:paraId="34CC543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graduation_rate_5yr</w:t>
            </w:r>
          </w:p>
        </w:tc>
        <w:tc>
          <w:tcPr>
            <w:tcW w:w="4500" w:type="dxa"/>
          </w:tcPr>
          <w:p w14:paraId="1DC7A12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Five-year high school graduation rate.</w:t>
            </w:r>
          </w:p>
        </w:tc>
        <w:tc>
          <w:tcPr>
            <w:tcW w:w="1080" w:type="dxa"/>
          </w:tcPr>
          <w:p w14:paraId="0E7DAFC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06CD4CF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56.67</w:t>
            </w:r>
          </w:p>
        </w:tc>
        <w:tc>
          <w:tcPr>
            <w:tcW w:w="1080" w:type="dxa"/>
          </w:tcPr>
          <w:p w14:paraId="0D0F951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95.00</w:t>
            </w:r>
          </w:p>
        </w:tc>
        <w:tc>
          <w:tcPr>
            <w:tcW w:w="1080" w:type="dxa"/>
          </w:tcPr>
          <w:p w14:paraId="29D7BE5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88.57</w:t>
            </w:r>
          </w:p>
        </w:tc>
        <w:tc>
          <w:tcPr>
            <w:tcW w:w="1080" w:type="dxa"/>
            <w:vAlign w:val="center"/>
          </w:tcPr>
          <w:p w14:paraId="54ADFCC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5.63</w:t>
            </w:r>
          </w:p>
        </w:tc>
      </w:tr>
      <w:tr w:rsidR="001B728D" w:rsidRPr="000B7CD9" w14:paraId="1269D985" w14:textId="77777777" w:rsidTr="009F058A">
        <w:trPr>
          <w:jc w:val="center"/>
        </w:trPr>
        <w:tc>
          <w:tcPr>
            <w:tcW w:w="2970" w:type="dxa"/>
          </w:tcPr>
          <w:p w14:paraId="40BEB92C"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pct_collge_enrollment</w:t>
            </w:r>
            <w:proofErr w:type="spellEnd"/>
          </w:p>
        </w:tc>
        <w:tc>
          <w:tcPr>
            <w:tcW w:w="4500" w:type="dxa"/>
          </w:tcPr>
          <w:p w14:paraId="6FD2AF2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of graduates enrolling in college.</w:t>
            </w:r>
          </w:p>
        </w:tc>
        <w:tc>
          <w:tcPr>
            <w:tcW w:w="1080" w:type="dxa"/>
          </w:tcPr>
          <w:p w14:paraId="0095CFF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0E58397C"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0.25</w:t>
            </w:r>
          </w:p>
        </w:tc>
        <w:tc>
          <w:tcPr>
            <w:tcW w:w="1080" w:type="dxa"/>
          </w:tcPr>
          <w:p w14:paraId="69A1FC19"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0.94</w:t>
            </w:r>
          </w:p>
        </w:tc>
        <w:tc>
          <w:tcPr>
            <w:tcW w:w="1080" w:type="dxa"/>
          </w:tcPr>
          <w:p w14:paraId="06513D5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0.63</w:t>
            </w:r>
          </w:p>
        </w:tc>
        <w:tc>
          <w:tcPr>
            <w:tcW w:w="1080" w:type="dxa"/>
            <w:vAlign w:val="center"/>
          </w:tcPr>
          <w:p w14:paraId="75A9E95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13.34</w:t>
            </w:r>
          </w:p>
        </w:tc>
      </w:tr>
      <w:tr w:rsidR="001B728D" w:rsidRPr="000B7CD9" w14:paraId="01C0F894" w14:textId="77777777" w:rsidTr="009F058A">
        <w:trPr>
          <w:jc w:val="center"/>
        </w:trPr>
        <w:tc>
          <w:tcPr>
            <w:tcW w:w="2970" w:type="dxa"/>
          </w:tcPr>
          <w:p w14:paraId="01CA833C" w14:textId="6C107670" w:rsidR="001B728D" w:rsidRPr="000B7CD9" w:rsidRDefault="00CF0EBA" w:rsidP="001B728D">
            <w:pPr>
              <w:jc w:val="center"/>
              <w:rPr>
                <w:rFonts w:ascii="Times New Roman" w:hAnsi="Times New Roman" w:cs="Times New Roman"/>
                <w:sz w:val="20"/>
                <w:szCs w:val="20"/>
              </w:rPr>
            </w:pPr>
            <w:r w:rsidRPr="000B7CD9">
              <w:rPr>
                <w:rFonts w:ascii="Times New Roman" w:hAnsi="Times New Roman" w:cs="Times New Roman"/>
                <w:sz w:val="20"/>
                <w:szCs w:val="20"/>
              </w:rPr>
              <w:t>Magnet School</w:t>
            </w:r>
          </w:p>
        </w:tc>
        <w:tc>
          <w:tcPr>
            <w:tcW w:w="4500" w:type="dxa"/>
          </w:tcPr>
          <w:p w14:paraId="511945F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Indicates whether the school is a magnet school.</w:t>
            </w:r>
          </w:p>
        </w:tc>
        <w:tc>
          <w:tcPr>
            <w:tcW w:w="1080" w:type="dxa"/>
            <w:vAlign w:val="center"/>
          </w:tcPr>
          <w:p w14:paraId="519D5B1D"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vAlign w:val="center"/>
          </w:tcPr>
          <w:p w14:paraId="1CBD3E3B" w14:textId="77777777" w:rsidR="001B728D" w:rsidRPr="000B7CD9" w:rsidRDefault="001B728D" w:rsidP="001B728D">
            <w:pPr>
              <w:jc w:val="center"/>
              <w:rPr>
                <w:rFonts w:ascii="Times New Roman" w:hAnsi="Times New Roman" w:cs="Times New Roman"/>
                <w:sz w:val="20"/>
                <w:szCs w:val="20"/>
              </w:rPr>
            </w:pPr>
            <w:proofErr w:type="spellStart"/>
            <w:r w:rsidRPr="000B7CD9">
              <w:rPr>
                <w:rFonts w:ascii="Times New Roman" w:hAnsi="Times New Roman" w:cs="Times New Roman"/>
                <w:sz w:val="20"/>
                <w:szCs w:val="20"/>
              </w:rPr>
              <w:t>NA</w:t>
            </w:r>
            <w:r w:rsidRPr="000B7CD9">
              <w:rPr>
                <w:rFonts w:ascii="Times New Roman" w:hAnsi="Times New Roman" w:cs="Times New Roman"/>
                <w:sz w:val="20"/>
                <w:szCs w:val="20"/>
                <w:vertAlign w:val="superscript"/>
              </w:rPr>
              <w:t>a</w:t>
            </w:r>
            <w:proofErr w:type="spellEnd"/>
          </w:p>
        </w:tc>
        <w:tc>
          <w:tcPr>
            <w:tcW w:w="1080" w:type="dxa"/>
            <w:vAlign w:val="center"/>
          </w:tcPr>
          <w:p w14:paraId="230916F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c>
          <w:tcPr>
            <w:tcW w:w="1080" w:type="dxa"/>
            <w:vAlign w:val="center"/>
          </w:tcPr>
          <w:p w14:paraId="2EC361D8"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c>
          <w:tcPr>
            <w:tcW w:w="1080" w:type="dxa"/>
          </w:tcPr>
          <w:p w14:paraId="188D59F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r>
      <w:tr w:rsidR="001B728D" w:rsidRPr="000B7CD9" w14:paraId="77BC3700" w14:textId="77777777" w:rsidTr="009F058A">
        <w:trPr>
          <w:jc w:val="center"/>
        </w:trPr>
        <w:tc>
          <w:tcPr>
            <w:tcW w:w="2970" w:type="dxa"/>
          </w:tcPr>
          <w:p w14:paraId="630D00CF" w14:textId="2AAEE1D4" w:rsidR="001B728D" w:rsidRPr="000B7CD9" w:rsidRDefault="00CF0EBA" w:rsidP="001B728D">
            <w:pPr>
              <w:jc w:val="center"/>
              <w:rPr>
                <w:rFonts w:ascii="Times New Roman" w:hAnsi="Times New Roman" w:cs="Times New Roman"/>
                <w:sz w:val="20"/>
                <w:szCs w:val="20"/>
              </w:rPr>
            </w:pPr>
            <w:r w:rsidRPr="000B7CD9">
              <w:rPr>
                <w:rFonts w:ascii="Times New Roman" w:hAnsi="Times New Roman" w:cs="Times New Roman"/>
                <w:sz w:val="20"/>
                <w:szCs w:val="20"/>
              </w:rPr>
              <w:t>Charter School</w:t>
            </w:r>
          </w:p>
        </w:tc>
        <w:tc>
          <w:tcPr>
            <w:tcW w:w="4500" w:type="dxa"/>
          </w:tcPr>
          <w:p w14:paraId="04E4E42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Indicates whether the school is a charter school.</w:t>
            </w:r>
          </w:p>
        </w:tc>
        <w:tc>
          <w:tcPr>
            <w:tcW w:w="1080" w:type="dxa"/>
            <w:vAlign w:val="center"/>
          </w:tcPr>
          <w:p w14:paraId="5C10E28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vAlign w:val="center"/>
          </w:tcPr>
          <w:p w14:paraId="0ECEA697"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c>
          <w:tcPr>
            <w:tcW w:w="1080" w:type="dxa"/>
            <w:vAlign w:val="center"/>
          </w:tcPr>
          <w:p w14:paraId="28D9B105"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c>
          <w:tcPr>
            <w:tcW w:w="1080" w:type="dxa"/>
            <w:vAlign w:val="center"/>
          </w:tcPr>
          <w:p w14:paraId="4268CF34"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c>
          <w:tcPr>
            <w:tcW w:w="1080" w:type="dxa"/>
            <w:vAlign w:val="center"/>
          </w:tcPr>
          <w:p w14:paraId="49E1D52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NA</w:t>
            </w:r>
          </w:p>
        </w:tc>
      </w:tr>
      <w:tr w:rsidR="001B728D" w:rsidRPr="000B7CD9" w14:paraId="45A84AFA" w14:textId="77777777" w:rsidTr="009F058A">
        <w:trPr>
          <w:jc w:val="center"/>
        </w:trPr>
        <w:tc>
          <w:tcPr>
            <w:tcW w:w="2970" w:type="dxa"/>
          </w:tcPr>
          <w:p w14:paraId="0A96ED6B"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xml:space="preserve">% Eco </w:t>
            </w:r>
            <w:proofErr w:type="spellStart"/>
            <w:r w:rsidRPr="000B7CD9">
              <w:rPr>
                <w:rFonts w:ascii="Times New Roman" w:hAnsi="Times New Roman" w:cs="Times New Roman"/>
                <w:sz w:val="20"/>
                <w:szCs w:val="20"/>
              </w:rPr>
              <w:t>Disadv</w:t>
            </w:r>
            <w:proofErr w:type="spellEnd"/>
            <w:r w:rsidRPr="000B7CD9">
              <w:rPr>
                <w:rFonts w:ascii="Times New Roman" w:hAnsi="Times New Roman" w:cs="Times New Roman"/>
                <w:sz w:val="20"/>
                <w:szCs w:val="20"/>
              </w:rPr>
              <w:t xml:space="preserve"> Students</w:t>
            </w:r>
          </w:p>
        </w:tc>
        <w:tc>
          <w:tcPr>
            <w:tcW w:w="4500" w:type="dxa"/>
          </w:tcPr>
          <w:p w14:paraId="5B1EE36F"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 economically disadvantaged students.</w:t>
            </w:r>
          </w:p>
        </w:tc>
        <w:tc>
          <w:tcPr>
            <w:tcW w:w="1080" w:type="dxa"/>
          </w:tcPr>
          <w:p w14:paraId="4B07F0B1"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0.00</w:t>
            </w:r>
          </w:p>
        </w:tc>
        <w:tc>
          <w:tcPr>
            <w:tcW w:w="1080" w:type="dxa"/>
          </w:tcPr>
          <w:p w14:paraId="0AA98833"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5.00</w:t>
            </w:r>
          </w:p>
        </w:tc>
        <w:tc>
          <w:tcPr>
            <w:tcW w:w="1080" w:type="dxa"/>
          </w:tcPr>
          <w:p w14:paraId="24DAD476"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67.10</w:t>
            </w:r>
          </w:p>
        </w:tc>
        <w:tc>
          <w:tcPr>
            <w:tcW w:w="1080" w:type="dxa"/>
          </w:tcPr>
          <w:p w14:paraId="7A1574BA"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35.96</w:t>
            </w:r>
          </w:p>
        </w:tc>
        <w:tc>
          <w:tcPr>
            <w:tcW w:w="1080" w:type="dxa"/>
            <w:vAlign w:val="center"/>
          </w:tcPr>
          <w:p w14:paraId="242BF6D0" w14:textId="77777777" w:rsidR="001B728D" w:rsidRPr="000B7CD9" w:rsidRDefault="001B728D" w:rsidP="001B728D">
            <w:pPr>
              <w:jc w:val="center"/>
              <w:rPr>
                <w:rFonts w:ascii="Times New Roman" w:hAnsi="Times New Roman" w:cs="Times New Roman"/>
                <w:sz w:val="20"/>
                <w:szCs w:val="20"/>
              </w:rPr>
            </w:pPr>
            <w:r w:rsidRPr="000B7CD9">
              <w:rPr>
                <w:rFonts w:ascii="Times New Roman" w:hAnsi="Times New Roman" w:cs="Times New Roman"/>
                <w:sz w:val="20"/>
                <w:szCs w:val="20"/>
              </w:rPr>
              <w:t>14.04</w:t>
            </w:r>
          </w:p>
        </w:tc>
      </w:tr>
    </w:tbl>
    <w:p w14:paraId="07971D39" w14:textId="1869BEA3" w:rsidR="00CF0EBA" w:rsidRPr="000B7CD9" w:rsidRDefault="001B728D" w:rsidP="00CF0EBA">
      <w:pPr>
        <w:jc w:val="left"/>
        <w:rPr>
          <w:rFonts w:ascii="Times New Roman" w:hAnsi="Times New Roman" w:cs="Times New Roman"/>
          <w:sz w:val="20"/>
          <w:szCs w:val="20"/>
        </w:rPr>
      </w:pPr>
      <w:r w:rsidRPr="000B7CD9">
        <w:rPr>
          <w:rFonts w:ascii="Times New Roman" w:hAnsi="Times New Roman" w:cs="Times New Roman"/>
          <w:i/>
          <w:iCs/>
          <w:sz w:val="20"/>
          <w:szCs w:val="20"/>
        </w:rPr>
        <w:t>Note.</w:t>
      </w:r>
      <w:r w:rsidRPr="000B7CD9">
        <w:rPr>
          <w:rFonts w:ascii="Times New Roman" w:hAnsi="Times New Roman" w:cs="Times New Roman"/>
          <w:sz w:val="20"/>
          <w:szCs w:val="20"/>
        </w:rPr>
        <w:t xml:space="preserve"> This table lists all the variables used in the current dataset for hierarchical cluster analysis, and the order of variables is the same as the column order in the heatmap (see Figure 1)</w:t>
      </w:r>
      <w:r w:rsidR="00CF0EBA" w:rsidRPr="000B7CD9">
        <w:rPr>
          <w:rFonts w:ascii="Times New Roman" w:hAnsi="Times New Roman" w:cs="Times New Roman"/>
          <w:sz w:val="20"/>
          <w:szCs w:val="20"/>
        </w:rPr>
        <w:t>.</w:t>
      </w:r>
      <w:r w:rsidR="00753300">
        <w:rPr>
          <w:rFonts w:ascii="Times New Roman" w:hAnsi="Times New Roman" w:cs="Times New Roman"/>
          <w:sz w:val="20"/>
          <w:szCs w:val="20"/>
        </w:rPr>
        <w:t xml:space="preserve"> # represents count, and % denotes percentage.</w:t>
      </w:r>
    </w:p>
    <w:p w14:paraId="23E483D9" w14:textId="678F82BB" w:rsidR="00CF0EBA" w:rsidRPr="000B7CD9" w:rsidRDefault="00CF0EBA" w:rsidP="00CF0EBA">
      <w:pPr>
        <w:jc w:val="left"/>
        <w:rPr>
          <w:rFonts w:ascii="Times New Roman" w:hAnsi="Times New Roman" w:cs="Times New Roman"/>
          <w:sz w:val="20"/>
          <w:szCs w:val="20"/>
        </w:rPr>
      </w:pPr>
      <w:r w:rsidRPr="000B7CD9">
        <w:rPr>
          <w:rFonts w:ascii="Times New Roman" w:hAnsi="Times New Roman" w:cs="Times New Roman"/>
          <w:sz w:val="20"/>
          <w:szCs w:val="20"/>
          <w:vertAlign w:val="superscript"/>
        </w:rPr>
        <w:t>a</w:t>
      </w:r>
      <w:r w:rsidRPr="000B7CD9">
        <w:rPr>
          <w:rFonts w:ascii="Times New Roman" w:hAnsi="Times New Roman" w:cs="Times New Roman"/>
          <w:sz w:val="20"/>
          <w:szCs w:val="20"/>
        </w:rPr>
        <w:t xml:space="preserve"> NA stands for Not Applicable. It is used for the two school type indicators whose values are Yes and No. </w:t>
      </w:r>
    </w:p>
    <w:p w14:paraId="4D0ED179" w14:textId="76FA11F3" w:rsidR="00CF0EBA" w:rsidRPr="000B7CD9" w:rsidRDefault="00CF0EBA" w:rsidP="00CF0EBA">
      <w:pPr>
        <w:jc w:val="left"/>
        <w:rPr>
          <w:rFonts w:ascii="Times New Roman" w:hAnsi="Times New Roman" w:cs="Times New Roman"/>
          <w:sz w:val="20"/>
          <w:szCs w:val="20"/>
        </w:rPr>
        <w:sectPr w:rsidR="00CF0EBA" w:rsidRPr="000B7CD9" w:rsidSect="001B728D">
          <w:type w:val="evenPage"/>
          <w:pgSz w:w="15840" w:h="12240" w:orient="landscape"/>
          <w:pgMar w:top="1440" w:right="1440" w:bottom="1440" w:left="1440" w:header="720" w:footer="720" w:gutter="0"/>
          <w:cols w:space="720"/>
          <w:docGrid w:linePitch="360"/>
        </w:sectPr>
      </w:pPr>
    </w:p>
    <w:p w14:paraId="5B270FA9" w14:textId="74C2E611" w:rsidR="0033327B" w:rsidRPr="002D4C49" w:rsidRDefault="0033327B" w:rsidP="001B728D">
      <w:pPr>
        <w:jc w:val="left"/>
        <w:rPr>
          <w:rFonts w:ascii="Times New Roman" w:hAnsi="Times New Roman" w:cs="Times New Roman"/>
          <w:i/>
          <w:iCs/>
          <w:sz w:val="20"/>
          <w:szCs w:val="20"/>
        </w:rPr>
      </w:pPr>
      <w:r w:rsidRPr="005F7542">
        <w:rPr>
          <w:rFonts w:ascii="Times New Roman" w:hAnsi="Times New Roman" w:cs="Times New Roman"/>
          <w:b/>
          <w:bCs/>
          <w:sz w:val="20"/>
          <w:szCs w:val="20"/>
        </w:rPr>
        <w:lastRenderedPageBreak/>
        <w:t xml:space="preserve">Table 2 </w:t>
      </w:r>
    </w:p>
    <w:p w14:paraId="0490BCB6" w14:textId="77777777" w:rsidR="0033327B" w:rsidRPr="005F7542" w:rsidRDefault="0033327B" w:rsidP="001B728D">
      <w:pPr>
        <w:jc w:val="left"/>
        <w:rPr>
          <w:rFonts w:ascii="Times New Roman" w:hAnsi="Times New Roman" w:cs="Times New Roman"/>
          <w:i/>
          <w:iCs/>
          <w:sz w:val="20"/>
          <w:szCs w:val="20"/>
        </w:rPr>
      </w:pPr>
      <w:r w:rsidRPr="005F7542">
        <w:rPr>
          <w:rFonts w:ascii="Times New Roman" w:hAnsi="Times New Roman" w:cs="Times New Roman"/>
          <w:i/>
          <w:iCs/>
          <w:sz w:val="20"/>
          <w:szCs w:val="20"/>
        </w:rPr>
        <w:t>Public Datasets Utilized in Dataset Construction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gridCol w:w="2872"/>
        <w:gridCol w:w="3235"/>
      </w:tblGrid>
      <w:tr w:rsidR="0033327B" w:rsidRPr="001353EF" w14:paraId="271EF3E7" w14:textId="77777777" w:rsidTr="009F058A">
        <w:tc>
          <w:tcPr>
            <w:tcW w:w="3243" w:type="dxa"/>
            <w:tcBorders>
              <w:bottom w:val="single" w:sz="4" w:space="0" w:color="auto"/>
            </w:tcBorders>
          </w:tcPr>
          <w:p w14:paraId="3FA43E53" w14:textId="77777777" w:rsidR="0033327B" w:rsidRPr="001353EF" w:rsidRDefault="0033327B" w:rsidP="001B728D">
            <w:pPr>
              <w:jc w:val="center"/>
              <w:rPr>
                <w:rFonts w:ascii="Times New Roman" w:hAnsi="Times New Roman" w:cs="Times New Roman"/>
                <w:b/>
                <w:bCs/>
                <w:i/>
                <w:iCs/>
                <w:sz w:val="20"/>
                <w:szCs w:val="20"/>
              </w:rPr>
            </w:pPr>
            <w:r w:rsidRPr="001353EF">
              <w:rPr>
                <w:rFonts w:ascii="Times New Roman" w:hAnsi="Times New Roman" w:cs="Times New Roman"/>
                <w:sz w:val="20"/>
                <w:szCs w:val="20"/>
              </w:rPr>
              <w:t>Datafile Name</w:t>
            </w:r>
          </w:p>
        </w:tc>
        <w:tc>
          <w:tcPr>
            <w:tcW w:w="2872" w:type="dxa"/>
            <w:tcBorders>
              <w:bottom w:val="single" w:sz="4" w:space="0" w:color="auto"/>
            </w:tcBorders>
          </w:tcPr>
          <w:p w14:paraId="1AF7D670"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 xml:space="preserve">Number of Variables </w:t>
            </w:r>
            <w:proofErr w:type="spellStart"/>
            <w:r w:rsidRPr="001353EF">
              <w:rPr>
                <w:rFonts w:ascii="Times New Roman" w:hAnsi="Times New Roman" w:cs="Times New Roman"/>
                <w:sz w:val="20"/>
                <w:szCs w:val="20"/>
              </w:rPr>
              <w:t>Used</w:t>
            </w:r>
            <w:r w:rsidRPr="001353EF">
              <w:rPr>
                <w:rFonts w:ascii="Times New Roman" w:hAnsi="Times New Roman" w:cs="Times New Roman"/>
                <w:sz w:val="20"/>
                <w:szCs w:val="20"/>
                <w:vertAlign w:val="superscript"/>
              </w:rPr>
              <w:t>a</w:t>
            </w:r>
            <w:proofErr w:type="spellEnd"/>
          </w:p>
        </w:tc>
        <w:tc>
          <w:tcPr>
            <w:tcW w:w="3235" w:type="dxa"/>
            <w:tcBorders>
              <w:bottom w:val="single" w:sz="4" w:space="0" w:color="auto"/>
            </w:tcBorders>
          </w:tcPr>
          <w:p w14:paraId="30EA49D3"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 xml:space="preserve">Number of Features </w:t>
            </w:r>
            <w:proofErr w:type="spellStart"/>
            <w:r w:rsidRPr="001353EF">
              <w:rPr>
                <w:rFonts w:ascii="Times New Roman" w:hAnsi="Times New Roman" w:cs="Times New Roman"/>
                <w:sz w:val="20"/>
                <w:szCs w:val="20"/>
              </w:rPr>
              <w:t>Derived</w:t>
            </w:r>
            <w:r w:rsidRPr="001353EF">
              <w:rPr>
                <w:rFonts w:ascii="Times New Roman" w:hAnsi="Times New Roman" w:cs="Times New Roman"/>
                <w:sz w:val="20"/>
                <w:szCs w:val="20"/>
                <w:vertAlign w:val="superscript"/>
              </w:rPr>
              <w:t>b</w:t>
            </w:r>
            <w:proofErr w:type="spellEnd"/>
          </w:p>
        </w:tc>
      </w:tr>
      <w:tr w:rsidR="0033327B" w:rsidRPr="001353EF" w14:paraId="621CA8CC" w14:textId="77777777" w:rsidTr="009F058A">
        <w:tc>
          <w:tcPr>
            <w:tcW w:w="9350" w:type="dxa"/>
            <w:gridSpan w:val="3"/>
            <w:tcBorders>
              <w:top w:val="single" w:sz="4" w:space="0" w:color="auto"/>
              <w:bottom w:val="nil"/>
            </w:tcBorders>
          </w:tcPr>
          <w:p w14:paraId="697FACFF"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CRDC</w:t>
            </w:r>
          </w:p>
        </w:tc>
      </w:tr>
      <w:tr w:rsidR="0033327B" w:rsidRPr="001353EF" w14:paraId="3BE62152" w14:textId="77777777" w:rsidTr="009F058A">
        <w:tc>
          <w:tcPr>
            <w:tcW w:w="3243" w:type="dxa"/>
            <w:tcBorders>
              <w:top w:val="nil"/>
            </w:tcBorders>
          </w:tcPr>
          <w:p w14:paraId="0084851C"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Enrollment.csv</w:t>
            </w:r>
            <w:r w:rsidRPr="001353EF">
              <w:rPr>
                <w:rFonts w:ascii="Times New Roman" w:hAnsi="Times New Roman" w:cs="Times New Roman"/>
                <w:sz w:val="20"/>
                <w:szCs w:val="20"/>
                <w:vertAlign w:val="superscript"/>
              </w:rPr>
              <w:t xml:space="preserve"> c</w:t>
            </w:r>
          </w:p>
        </w:tc>
        <w:tc>
          <w:tcPr>
            <w:tcW w:w="2872" w:type="dxa"/>
            <w:tcBorders>
              <w:top w:val="nil"/>
            </w:tcBorders>
          </w:tcPr>
          <w:p w14:paraId="76F34555"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4</w:t>
            </w:r>
          </w:p>
        </w:tc>
        <w:tc>
          <w:tcPr>
            <w:tcW w:w="3235" w:type="dxa"/>
            <w:tcBorders>
              <w:top w:val="nil"/>
            </w:tcBorders>
          </w:tcPr>
          <w:p w14:paraId="6DB7B6A1" w14:textId="77777777" w:rsidR="0033327B" w:rsidRPr="001353EF" w:rsidRDefault="0033327B" w:rsidP="001B728D">
            <w:pPr>
              <w:jc w:val="center"/>
              <w:rPr>
                <w:rFonts w:ascii="Times New Roman" w:hAnsi="Times New Roman" w:cs="Times New Roman"/>
                <w:sz w:val="20"/>
                <w:szCs w:val="20"/>
                <w:vertAlign w:val="superscript"/>
              </w:rPr>
            </w:pPr>
            <w:r w:rsidRPr="001353EF">
              <w:rPr>
                <w:rFonts w:ascii="Times New Roman" w:hAnsi="Times New Roman" w:cs="Times New Roman"/>
                <w:sz w:val="20"/>
                <w:szCs w:val="20"/>
              </w:rPr>
              <w:t>0</w:t>
            </w:r>
          </w:p>
        </w:tc>
      </w:tr>
      <w:tr w:rsidR="0033327B" w:rsidRPr="001353EF" w14:paraId="4E293BC2" w14:textId="77777777" w:rsidTr="009F058A">
        <w:tc>
          <w:tcPr>
            <w:tcW w:w="3243" w:type="dxa"/>
          </w:tcPr>
          <w:p w14:paraId="069910BF"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Advanced Mathematics.csv</w:t>
            </w:r>
          </w:p>
        </w:tc>
        <w:tc>
          <w:tcPr>
            <w:tcW w:w="2872" w:type="dxa"/>
          </w:tcPr>
          <w:p w14:paraId="39242D94"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3BF55777"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161655EB" w14:textId="77777777" w:rsidTr="009F058A">
        <w:tc>
          <w:tcPr>
            <w:tcW w:w="3243" w:type="dxa"/>
          </w:tcPr>
          <w:p w14:paraId="1EE65EEA"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Algebra II.csv</w:t>
            </w:r>
          </w:p>
        </w:tc>
        <w:tc>
          <w:tcPr>
            <w:tcW w:w="2872" w:type="dxa"/>
          </w:tcPr>
          <w:p w14:paraId="06D3FDE5"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0DBFE73A"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2D74165C" w14:textId="77777777" w:rsidTr="009F058A">
        <w:tc>
          <w:tcPr>
            <w:tcW w:w="3243" w:type="dxa"/>
          </w:tcPr>
          <w:p w14:paraId="71EAD489"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Calculus.csv</w:t>
            </w:r>
          </w:p>
        </w:tc>
        <w:tc>
          <w:tcPr>
            <w:tcW w:w="2872" w:type="dxa"/>
          </w:tcPr>
          <w:p w14:paraId="58E88680"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6B7CCA91"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57B53849" w14:textId="77777777" w:rsidTr="009F058A">
        <w:tc>
          <w:tcPr>
            <w:tcW w:w="3243" w:type="dxa"/>
          </w:tcPr>
          <w:p w14:paraId="598AA0A9"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Geometry.csv</w:t>
            </w:r>
          </w:p>
        </w:tc>
        <w:tc>
          <w:tcPr>
            <w:tcW w:w="2872" w:type="dxa"/>
          </w:tcPr>
          <w:p w14:paraId="36425A0C"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2A85525B"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7E15AD97" w14:textId="77777777" w:rsidTr="009F058A">
        <w:tc>
          <w:tcPr>
            <w:tcW w:w="3243" w:type="dxa"/>
          </w:tcPr>
          <w:p w14:paraId="5E3D3072"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Biology.csv</w:t>
            </w:r>
          </w:p>
        </w:tc>
        <w:tc>
          <w:tcPr>
            <w:tcW w:w="2872" w:type="dxa"/>
          </w:tcPr>
          <w:p w14:paraId="6C785CC7"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608C368D"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02B237DF" w14:textId="77777777" w:rsidTr="009F058A">
        <w:tc>
          <w:tcPr>
            <w:tcW w:w="3243" w:type="dxa"/>
          </w:tcPr>
          <w:p w14:paraId="20B1690D"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Chemistry.csv</w:t>
            </w:r>
          </w:p>
        </w:tc>
        <w:tc>
          <w:tcPr>
            <w:tcW w:w="2872" w:type="dxa"/>
          </w:tcPr>
          <w:p w14:paraId="5117E07A"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1C0B9079"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30359868" w14:textId="77777777" w:rsidTr="009F058A">
        <w:tc>
          <w:tcPr>
            <w:tcW w:w="3243" w:type="dxa"/>
          </w:tcPr>
          <w:p w14:paraId="0A16052F"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Physics.csv</w:t>
            </w:r>
          </w:p>
        </w:tc>
        <w:tc>
          <w:tcPr>
            <w:tcW w:w="2872" w:type="dxa"/>
          </w:tcPr>
          <w:p w14:paraId="09D1A523"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4AB8D7A4"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4784C770" w14:textId="77777777" w:rsidTr="009F058A">
        <w:tc>
          <w:tcPr>
            <w:tcW w:w="3243" w:type="dxa"/>
          </w:tcPr>
          <w:p w14:paraId="13249AF6"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Computer Science.csv</w:t>
            </w:r>
          </w:p>
        </w:tc>
        <w:tc>
          <w:tcPr>
            <w:tcW w:w="2872" w:type="dxa"/>
          </w:tcPr>
          <w:p w14:paraId="7E598649"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3</w:t>
            </w:r>
          </w:p>
        </w:tc>
        <w:tc>
          <w:tcPr>
            <w:tcW w:w="3235" w:type="dxa"/>
          </w:tcPr>
          <w:p w14:paraId="4B81A431"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74D2D672" w14:textId="77777777" w:rsidTr="009F058A">
        <w:tc>
          <w:tcPr>
            <w:tcW w:w="3243" w:type="dxa"/>
          </w:tcPr>
          <w:p w14:paraId="4BE3F325"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Advanced Placement.csv</w:t>
            </w:r>
          </w:p>
        </w:tc>
        <w:tc>
          <w:tcPr>
            <w:tcW w:w="2872" w:type="dxa"/>
          </w:tcPr>
          <w:p w14:paraId="02F3BC05"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8</w:t>
            </w:r>
          </w:p>
        </w:tc>
        <w:tc>
          <w:tcPr>
            <w:tcW w:w="3235" w:type="dxa"/>
          </w:tcPr>
          <w:p w14:paraId="5B80BCAB"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4</w:t>
            </w:r>
          </w:p>
        </w:tc>
      </w:tr>
      <w:tr w:rsidR="0033327B" w:rsidRPr="001353EF" w14:paraId="2CD193DB" w14:textId="77777777" w:rsidTr="009F058A">
        <w:tc>
          <w:tcPr>
            <w:tcW w:w="3243" w:type="dxa"/>
          </w:tcPr>
          <w:p w14:paraId="5779BA97"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Dual Enrollment.csv</w:t>
            </w:r>
          </w:p>
        </w:tc>
        <w:tc>
          <w:tcPr>
            <w:tcW w:w="2872" w:type="dxa"/>
          </w:tcPr>
          <w:p w14:paraId="73F81156"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2</w:t>
            </w:r>
          </w:p>
        </w:tc>
        <w:tc>
          <w:tcPr>
            <w:tcW w:w="3235" w:type="dxa"/>
          </w:tcPr>
          <w:p w14:paraId="0EBE1252"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1</w:t>
            </w:r>
          </w:p>
        </w:tc>
      </w:tr>
      <w:tr w:rsidR="0033327B" w:rsidRPr="001353EF" w14:paraId="48E04F13" w14:textId="77777777" w:rsidTr="009F058A">
        <w:tc>
          <w:tcPr>
            <w:tcW w:w="3243" w:type="dxa"/>
            <w:tcBorders>
              <w:bottom w:val="single" w:sz="4" w:space="0" w:color="auto"/>
            </w:tcBorders>
          </w:tcPr>
          <w:p w14:paraId="7F21F7A5"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School Characteristics.csv</w:t>
            </w:r>
          </w:p>
        </w:tc>
        <w:tc>
          <w:tcPr>
            <w:tcW w:w="2872" w:type="dxa"/>
            <w:tcBorders>
              <w:bottom w:val="single" w:sz="4" w:space="0" w:color="auto"/>
            </w:tcBorders>
          </w:tcPr>
          <w:p w14:paraId="552672E5"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c>
          <w:tcPr>
            <w:tcW w:w="3235" w:type="dxa"/>
            <w:tcBorders>
              <w:bottom w:val="single" w:sz="4" w:space="0" w:color="auto"/>
            </w:tcBorders>
          </w:tcPr>
          <w:p w14:paraId="3F12A211"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096EE80B" w14:textId="77777777" w:rsidTr="009F058A">
        <w:tc>
          <w:tcPr>
            <w:tcW w:w="9350" w:type="dxa"/>
            <w:gridSpan w:val="3"/>
            <w:tcBorders>
              <w:top w:val="single" w:sz="4" w:space="0" w:color="auto"/>
              <w:bottom w:val="nil"/>
            </w:tcBorders>
          </w:tcPr>
          <w:p w14:paraId="60467121"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NC DPI</w:t>
            </w:r>
          </w:p>
        </w:tc>
      </w:tr>
      <w:tr w:rsidR="0033327B" w:rsidRPr="001353EF" w14:paraId="131B67C3" w14:textId="77777777" w:rsidTr="009F058A">
        <w:tc>
          <w:tcPr>
            <w:tcW w:w="3243" w:type="dxa"/>
            <w:tcBorders>
              <w:top w:val="nil"/>
            </w:tcBorders>
          </w:tcPr>
          <w:p w14:paraId="7EC8946E"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rcd_ap.xlsx</w:t>
            </w:r>
          </w:p>
        </w:tc>
        <w:tc>
          <w:tcPr>
            <w:tcW w:w="2872" w:type="dxa"/>
            <w:tcBorders>
              <w:top w:val="nil"/>
            </w:tcBorders>
          </w:tcPr>
          <w:p w14:paraId="6FF34721"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2</w:t>
            </w:r>
          </w:p>
        </w:tc>
        <w:tc>
          <w:tcPr>
            <w:tcW w:w="3235" w:type="dxa"/>
            <w:tcBorders>
              <w:top w:val="nil"/>
            </w:tcBorders>
          </w:tcPr>
          <w:p w14:paraId="62FCB0E7"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49B31215" w14:textId="77777777" w:rsidTr="009F058A">
        <w:tc>
          <w:tcPr>
            <w:tcW w:w="3243" w:type="dxa"/>
          </w:tcPr>
          <w:p w14:paraId="1D684F27"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rcd_sat.xlsx</w:t>
            </w:r>
          </w:p>
        </w:tc>
        <w:tc>
          <w:tcPr>
            <w:tcW w:w="2872" w:type="dxa"/>
          </w:tcPr>
          <w:p w14:paraId="45B13E32"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2</w:t>
            </w:r>
          </w:p>
        </w:tc>
        <w:tc>
          <w:tcPr>
            <w:tcW w:w="3235" w:type="dxa"/>
          </w:tcPr>
          <w:p w14:paraId="3BABD264"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2247954E" w14:textId="77777777" w:rsidTr="009F058A">
        <w:tc>
          <w:tcPr>
            <w:tcW w:w="3243" w:type="dxa"/>
          </w:tcPr>
          <w:p w14:paraId="75C97B9A"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rcd_acc_cgr.xlsx</w:t>
            </w:r>
          </w:p>
        </w:tc>
        <w:tc>
          <w:tcPr>
            <w:tcW w:w="2872" w:type="dxa"/>
          </w:tcPr>
          <w:p w14:paraId="4D97CA31"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2</w:t>
            </w:r>
          </w:p>
        </w:tc>
        <w:tc>
          <w:tcPr>
            <w:tcW w:w="3235" w:type="dxa"/>
          </w:tcPr>
          <w:p w14:paraId="53348E65"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2</w:t>
            </w:r>
          </w:p>
        </w:tc>
      </w:tr>
      <w:tr w:rsidR="0033327B" w:rsidRPr="001353EF" w14:paraId="32F6C863" w14:textId="77777777" w:rsidTr="009F058A">
        <w:tc>
          <w:tcPr>
            <w:tcW w:w="3243" w:type="dxa"/>
          </w:tcPr>
          <w:p w14:paraId="2F37984B"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rcd_college.xlsx</w:t>
            </w:r>
          </w:p>
        </w:tc>
        <w:tc>
          <w:tcPr>
            <w:tcW w:w="2872" w:type="dxa"/>
          </w:tcPr>
          <w:p w14:paraId="02DA4F9D"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1</w:t>
            </w:r>
          </w:p>
        </w:tc>
        <w:tc>
          <w:tcPr>
            <w:tcW w:w="3235" w:type="dxa"/>
          </w:tcPr>
          <w:p w14:paraId="0C2CEFC3" w14:textId="77777777" w:rsidR="0033327B" w:rsidRPr="001353EF" w:rsidRDefault="0033327B" w:rsidP="001B728D">
            <w:pPr>
              <w:jc w:val="center"/>
              <w:rPr>
                <w:rFonts w:ascii="Times New Roman" w:hAnsi="Times New Roman" w:cs="Times New Roman"/>
                <w:sz w:val="20"/>
                <w:szCs w:val="20"/>
              </w:rPr>
            </w:pPr>
            <w:r w:rsidRPr="001353EF">
              <w:rPr>
                <w:rFonts w:ascii="Times New Roman" w:hAnsi="Times New Roman" w:cs="Times New Roman"/>
                <w:sz w:val="20"/>
                <w:szCs w:val="20"/>
              </w:rPr>
              <w:t>1</w:t>
            </w:r>
          </w:p>
        </w:tc>
      </w:tr>
      <w:tr w:rsidR="0033327B" w:rsidRPr="001353EF" w14:paraId="014AC3F3" w14:textId="77777777" w:rsidTr="009F058A">
        <w:tc>
          <w:tcPr>
            <w:tcW w:w="3243" w:type="dxa"/>
          </w:tcPr>
          <w:p w14:paraId="40723F71"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rcd_acc_eds.xlsx</w:t>
            </w:r>
          </w:p>
        </w:tc>
        <w:tc>
          <w:tcPr>
            <w:tcW w:w="2872" w:type="dxa"/>
          </w:tcPr>
          <w:p w14:paraId="79F8B990" w14:textId="77777777" w:rsidR="0033327B" w:rsidRDefault="0033327B" w:rsidP="001B728D">
            <w:pPr>
              <w:jc w:val="center"/>
              <w:rPr>
                <w:rFonts w:ascii="Times New Roman" w:hAnsi="Times New Roman" w:cs="Times New Roman"/>
                <w:sz w:val="20"/>
                <w:szCs w:val="20"/>
              </w:rPr>
            </w:pPr>
            <w:r>
              <w:rPr>
                <w:rFonts w:ascii="Times New Roman" w:hAnsi="Times New Roman" w:cs="Times New Roman"/>
                <w:sz w:val="20"/>
                <w:szCs w:val="20"/>
              </w:rPr>
              <w:t>1</w:t>
            </w:r>
          </w:p>
        </w:tc>
        <w:tc>
          <w:tcPr>
            <w:tcW w:w="3235" w:type="dxa"/>
          </w:tcPr>
          <w:p w14:paraId="55F3B3EF" w14:textId="77777777" w:rsidR="0033327B" w:rsidRPr="001353EF" w:rsidRDefault="0033327B" w:rsidP="001B728D">
            <w:pPr>
              <w:jc w:val="center"/>
              <w:rPr>
                <w:rFonts w:ascii="Times New Roman" w:hAnsi="Times New Roman" w:cs="Times New Roman"/>
                <w:sz w:val="20"/>
                <w:szCs w:val="20"/>
              </w:rPr>
            </w:pPr>
            <w:r>
              <w:rPr>
                <w:rFonts w:ascii="Times New Roman" w:hAnsi="Times New Roman" w:cs="Times New Roman"/>
                <w:sz w:val="20"/>
                <w:szCs w:val="20"/>
              </w:rPr>
              <w:t>1</w:t>
            </w:r>
          </w:p>
        </w:tc>
      </w:tr>
    </w:tbl>
    <w:p w14:paraId="2C4BF8E0" w14:textId="77777777" w:rsidR="0033327B" w:rsidRDefault="0033327B" w:rsidP="001B728D">
      <w:pPr>
        <w:jc w:val="left"/>
        <w:rPr>
          <w:rFonts w:ascii="Times New Roman" w:hAnsi="Times New Roman" w:cs="Times New Roman"/>
          <w:sz w:val="20"/>
          <w:szCs w:val="20"/>
        </w:rPr>
      </w:pPr>
      <w:r w:rsidRPr="00633B78">
        <w:rPr>
          <w:rFonts w:ascii="Times New Roman" w:hAnsi="Times New Roman" w:cs="Times New Roman"/>
          <w:i/>
          <w:iCs/>
          <w:sz w:val="20"/>
          <w:szCs w:val="20"/>
        </w:rPr>
        <w:t xml:space="preserve">Note. </w:t>
      </w:r>
      <w:r w:rsidRPr="00633B78">
        <w:rPr>
          <w:rFonts w:ascii="Times New Roman" w:hAnsi="Times New Roman" w:cs="Times New Roman"/>
          <w:sz w:val="20"/>
          <w:szCs w:val="20"/>
        </w:rPr>
        <w:t xml:space="preserve">This table demonstrates how public datasets from CRDC and NC DPI help construct the current dataset for analysis. From each dataset, only a selection of variables was used to engineer the new features. </w:t>
      </w:r>
    </w:p>
    <w:p w14:paraId="79977AAC" w14:textId="77777777" w:rsidR="0033327B" w:rsidRDefault="0033327B" w:rsidP="001B728D">
      <w:pPr>
        <w:jc w:val="left"/>
        <w:rPr>
          <w:rFonts w:ascii="Times New Roman" w:hAnsi="Times New Roman" w:cs="Times New Roman"/>
          <w:sz w:val="20"/>
          <w:szCs w:val="20"/>
        </w:rPr>
      </w:pPr>
      <w:proofErr w:type="spellStart"/>
      <w:r w:rsidRPr="00633B78">
        <w:rPr>
          <w:rFonts w:ascii="Times New Roman" w:hAnsi="Times New Roman" w:cs="Times New Roman"/>
          <w:sz w:val="20"/>
          <w:szCs w:val="20"/>
          <w:vertAlign w:val="superscript"/>
        </w:rPr>
        <w:t>a</w:t>
      </w:r>
      <w:proofErr w:type="spellEnd"/>
      <w:r>
        <w:rPr>
          <w:rFonts w:ascii="Times New Roman" w:hAnsi="Times New Roman" w:cs="Times New Roman"/>
          <w:sz w:val="20"/>
          <w:szCs w:val="20"/>
          <w:vertAlign w:val="superscript"/>
        </w:rPr>
        <w:t xml:space="preserve">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values in this column represents the number of variables used for feature engineering purposes, excluding the variables used to identify schools.</w:t>
      </w:r>
    </w:p>
    <w:p w14:paraId="434A00E6" w14:textId="77777777" w:rsidR="0033327B" w:rsidRDefault="0033327B" w:rsidP="001B728D">
      <w:pPr>
        <w:jc w:val="left"/>
        <w:rPr>
          <w:rFonts w:ascii="Times New Roman" w:hAnsi="Times New Roman" w:cs="Times New Roman"/>
          <w:sz w:val="20"/>
          <w:szCs w:val="20"/>
        </w:rPr>
      </w:pPr>
      <w:r w:rsidRPr="00633B78">
        <w:rPr>
          <w:rFonts w:ascii="Times New Roman" w:hAnsi="Times New Roman" w:cs="Times New Roman"/>
          <w:sz w:val="20"/>
          <w:szCs w:val="20"/>
          <w:vertAlign w:val="superscript"/>
        </w:rPr>
        <w:t>b</w:t>
      </w:r>
      <w:r>
        <w:rPr>
          <w:rFonts w:ascii="Times New Roman" w:hAnsi="Times New Roman" w:cs="Times New Roman"/>
          <w:sz w:val="20"/>
          <w:szCs w:val="20"/>
        </w:rPr>
        <w:t xml:space="preserve">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values in this column represents the number of new features derived from the public dataset, excluding the variables used to identify schools.</w:t>
      </w:r>
    </w:p>
    <w:p w14:paraId="091142B6" w14:textId="77777777" w:rsidR="0033327B" w:rsidRDefault="0033327B" w:rsidP="001B728D">
      <w:pPr>
        <w:jc w:val="left"/>
        <w:rPr>
          <w:rFonts w:ascii="Times New Roman" w:hAnsi="Times New Roman" w:cs="Times New Roman"/>
          <w:sz w:val="20"/>
          <w:szCs w:val="20"/>
        </w:rPr>
      </w:pPr>
      <w:r w:rsidRPr="00633B78">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This dataset was only used to calculate how many high schoolers are in each school. Since many data points from the public datasets are number of students, this dataset helps to calculate the percentage of students. </w:t>
      </w:r>
    </w:p>
    <w:p w14:paraId="1B044796" w14:textId="77777777" w:rsidR="0033327B" w:rsidRDefault="0033327B" w:rsidP="001B728D">
      <w:pPr>
        <w:widowControl/>
        <w:rPr>
          <w:rFonts w:ascii="Times New Roman" w:hAnsi="Times New Roman" w:cs="Times New Roman"/>
          <w:b/>
          <w:bCs/>
          <w:sz w:val="20"/>
          <w:szCs w:val="20"/>
        </w:rPr>
      </w:pPr>
    </w:p>
    <w:p w14:paraId="1EA959C8" w14:textId="0E3B01BD" w:rsidR="0033327B" w:rsidRPr="0033327B" w:rsidRDefault="0033327B" w:rsidP="001B728D">
      <w:pPr>
        <w:widowControl/>
        <w:rPr>
          <w:rFonts w:ascii="Times New Roman" w:hAnsi="Times New Roman" w:cs="Times New Roman"/>
          <w:b/>
          <w:bCs/>
          <w:sz w:val="20"/>
          <w:szCs w:val="20"/>
        </w:rPr>
      </w:pPr>
      <w:r w:rsidRPr="0033327B">
        <w:rPr>
          <w:rFonts w:ascii="Times New Roman" w:hAnsi="Times New Roman" w:cs="Times New Roman"/>
          <w:b/>
          <w:bCs/>
          <w:sz w:val="20"/>
          <w:szCs w:val="20"/>
        </w:rPr>
        <w:t>Table 3</w:t>
      </w:r>
    </w:p>
    <w:p w14:paraId="0C1CE5B6" w14:textId="6229FB07" w:rsidR="0033327B" w:rsidRPr="0033327B" w:rsidRDefault="0033327B" w:rsidP="001B728D">
      <w:pPr>
        <w:widowControl/>
        <w:rPr>
          <w:rFonts w:ascii="Times New Roman" w:hAnsi="Times New Roman" w:cs="Times New Roman"/>
          <w:i/>
          <w:iCs/>
          <w:sz w:val="20"/>
          <w:szCs w:val="20"/>
        </w:rPr>
      </w:pPr>
      <w:r w:rsidRPr="0033327B">
        <w:rPr>
          <w:rFonts w:ascii="Times New Roman" w:hAnsi="Times New Roman" w:cs="Times New Roman"/>
          <w:i/>
          <w:iCs/>
          <w:sz w:val="20"/>
          <w:szCs w:val="20"/>
        </w:rPr>
        <w:t xml:space="preserve">R Packages Used </w:t>
      </w:r>
      <w:r w:rsidR="00CF0EBA">
        <w:rPr>
          <w:rFonts w:ascii="Times New Roman" w:hAnsi="Times New Roman" w:cs="Times New Roman"/>
          <w:i/>
          <w:iCs/>
          <w:sz w:val="20"/>
          <w:szCs w:val="20"/>
        </w:rPr>
        <w:t xml:space="preserve">in Current Analysis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1080"/>
      </w:tblGrid>
      <w:tr w:rsidR="0033327B" w:rsidRPr="0033327B" w14:paraId="1BF38F62" w14:textId="77777777" w:rsidTr="00CF0EBA">
        <w:trPr>
          <w:jc w:val="center"/>
        </w:trPr>
        <w:tc>
          <w:tcPr>
            <w:tcW w:w="1710" w:type="dxa"/>
            <w:tcBorders>
              <w:top w:val="single" w:sz="4" w:space="0" w:color="auto"/>
              <w:bottom w:val="single" w:sz="4" w:space="0" w:color="auto"/>
            </w:tcBorders>
            <w:vAlign w:val="center"/>
          </w:tcPr>
          <w:p w14:paraId="2AA77F9B" w14:textId="2ED5F2EF" w:rsidR="0033327B" w:rsidRPr="0033327B" w:rsidRDefault="0033327B" w:rsidP="00CF0EBA">
            <w:pPr>
              <w:widowControl/>
              <w:jc w:val="center"/>
              <w:rPr>
                <w:rFonts w:ascii="Times New Roman" w:hAnsi="Times New Roman" w:cs="Times New Roman"/>
                <w:b/>
                <w:bCs/>
                <w:sz w:val="20"/>
                <w:szCs w:val="20"/>
              </w:rPr>
            </w:pPr>
            <w:r w:rsidRPr="0033327B">
              <w:rPr>
                <w:rFonts w:ascii="Times New Roman" w:hAnsi="Times New Roman" w:cs="Times New Roman"/>
                <w:b/>
                <w:bCs/>
                <w:sz w:val="20"/>
                <w:szCs w:val="20"/>
              </w:rPr>
              <w:t>Package</w:t>
            </w:r>
          </w:p>
        </w:tc>
        <w:tc>
          <w:tcPr>
            <w:tcW w:w="1080" w:type="dxa"/>
            <w:tcBorders>
              <w:top w:val="single" w:sz="4" w:space="0" w:color="auto"/>
              <w:bottom w:val="single" w:sz="4" w:space="0" w:color="auto"/>
            </w:tcBorders>
            <w:vAlign w:val="center"/>
          </w:tcPr>
          <w:p w14:paraId="76D7167A" w14:textId="60D57E55" w:rsidR="0033327B" w:rsidRPr="0033327B" w:rsidRDefault="0033327B" w:rsidP="00CF0EBA">
            <w:pPr>
              <w:widowControl/>
              <w:jc w:val="center"/>
              <w:rPr>
                <w:rFonts w:ascii="Times New Roman" w:hAnsi="Times New Roman" w:cs="Times New Roman"/>
                <w:b/>
                <w:bCs/>
                <w:sz w:val="20"/>
                <w:szCs w:val="20"/>
              </w:rPr>
            </w:pPr>
            <w:r w:rsidRPr="0033327B">
              <w:rPr>
                <w:rFonts w:ascii="Times New Roman" w:hAnsi="Times New Roman" w:cs="Times New Roman"/>
                <w:b/>
                <w:bCs/>
                <w:sz w:val="20"/>
                <w:szCs w:val="20"/>
              </w:rPr>
              <w:t>Version</w:t>
            </w:r>
          </w:p>
        </w:tc>
      </w:tr>
      <w:tr w:rsidR="0033327B" w:rsidRPr="0033327B" w14:paraId="730D079C" w14:textId="77777777" w:rsidTr="00CF0EBA">
        <w:trPr>
          <w:jc w:val="center"/>
        </w:trPr>
        <w:tc>
          <w:tcPr>
            <w:tcW w:w="1710" w:type="dxa"/>
            <w:tcBorders>
              <w:top w:val="single" w:sz="4" w:space="0" w:color="auto"/>
            </w:tcBorders>
            <w:vAlign w:val="center"/>
          </w:tcPr>
          <w:p w14:paraId="69D066EF" w14:textId="655BDFEF" w:rsidR="0033327B" w:rsidRPr="0033327B" w:rsidRDefault="0033327B" w:rsidP="00CF0EBA">
            <w:pPr>
              <w:widowControl/>
              <w:jc w:val="center"/>
              <w:rPr>
                <w:rFonts w:ascii="Courier New" w:hAnsi="Courier New" w:cs="Courier New"/>
                <w:sz w:val="20"/>
                <w:szCs w:val="20"/>
              </w:rPr>
            </w:pPr>
            <w:r w:rsidRPr="0033327B">
              <w:rPr>
                <w:rFonts w:ascii="Courier New" w:hAnsi="Courier New" w:cs="Courier New"/>
                <w:sz w:val="20"/>
                <w:szCs w:val="20"/>
              </w:rPr>
              <w:t>base</w:t>
            </w:r>
          </w:p>
        </w:tc>
        <w:tc>
          <w:tcPr>
            <w:tcW w:w="1080" w:type="dxa"/>
            <w:tcBorders>
              <w:top w:val="single" w:sz="4" w:space="0" w:color="auto"/>
            </w:tcBorders>
            <w:vAlign w:val="center"/>
          </w:tcPr>
          <w:p w14:paraId="7B09D1D6" w14:textId="0FCF3C5F"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4.3.2</w:t>
            </w:r>
          </w:p>
        </w:tc>
      </w:tr>
      <w:tr w:rsidR="0033327B" w:rsidRPr="0033327B" w14:paraId="095E64C0" w14:textId="77777777" w:rsidTr="00CF0EBA">
        <w:trPr>
          <w:jc w:val="center"/>
        </w:trPr>
        <w:tc>
          <w:tcPr>
            <w:tcW w:w="1710" w:type="dxa"/>
            <w:vAlign w:val="center"/>
          </w:tcPr>
          <w:p w14:paraId="55E9EB0D" w14:textId="227473B2"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Biobase</w:t>
            </w:r>
            <w:proofErr w:type="spellEnd"/>
          </w:p>
        </w:tc>
        <w:tc>
          <w:tcPr>
            <w:tcW w:w="1080" w:type="dxa"/>
            <w:vAlign w:val="center"/>
          </w:tcPr>
          <w:p w14:paraId="09EB2379" w14:textId="6887262A"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2.62.0</w:t>
            </w:r>
          </w:p>
        </w:tc>
      </w:tr>
      <w:tr w:rsidR="0033327B" w:rsidRPr="0033327B" w14:paraId="2C3E38A1" w14:textId="77777777" w:rsidTr="00CF0EBA">
        <w:trPr>
          <w:jc w:val="center"/>
        </w:trPr>
        <w:tc>
          <w:tcPr>
            <w:tcW w:w="1710" w:type="dxa"/>
            <w:vAlign w:val="center"/>
          </w:tcPr>
          <w:p w14:paraId="054BBF85" w14:textId="7E207B8F"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BiocGenerics</w:t>
            </w:r>
            <w:proofErr w:type="spellEnd"/>
          </w:p>
        </w:tc>
        <w:tc>
          <w:tcPr>
            <w:tcW w:w="1080" w:type="dxa"/>
            <w:vAlign w:val="center"/>
          </w:tcPr>
          <w:p w14:paraId="45FEF369" w14:textId="3F310CAB"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0.48.1</w:t>
            </w:r>
          </w:p>
        </w:tc>
      </w:tr>
      <w:tr w:rsidR="0033327B" w:rsidRPr="0033327B" w14:paraId="6C484C3C" w14:textId="77777777" w:rsidTr="00CF0EBA">
        <w:trPr>
          <w:jc w:val="center"/>
        </w:trPr>
        <w:tc>
          <w:tcPr>
            <w:tcW w:w="1710" w:type="dxa"/>
            <w:vAlign w:val="center"/>
          </w:tcPr>
          <w:p w14:paraId="6A0F3C85" w14:textId="74831B6B"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circlize</w:t>
            </w:r>
            <w:proofErr w:type="spellEnd"/>
          </w:p>
        </w:tc>
        <w:tc>
          <w:tcPr>
            <w:tcW w:w="1080" w:type="dxa"/>
            <w:vAlign w:val="center"/>
          </w:tcPr>
          <w:p w14:paraId="6591B7D2" w14:textId="64BFC2A4"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0.4.16</w:t>
            </w:r>
          </w:p>
        </w:tc>
      </w:tr>
      <w:tr w:rsidR="0033327B" w:rsidRPr="0033327B" w14:paraId="12C849AD" w14:textId="77777777" w:rsidTr="00CF0EBA">
        <w:trPr>
          <w:jc w:val="center"/>
        </w:trPr>
        <w:tc>
          <w:tcPr>
            <w:tcW w:w="1710" w:type="dxa"/>
            <w:vAlign w:val="center"/>
          </w:tcPr>
          <w:p w14:paraId="2CA180E6" w14:textId="7580CDEE" w:rsidR="0033327B" w:rsidRPr="0033327B" w:rsidRDefault="0033327B" w:rsidP="00CF0EBA">
            <w:pPr>
              <w:widowControl/>
              <w:jc w:val="center"/>
              <w:rPr>
                <w:rFonts w:ascii="Courier New" w:hAnsi="Courier New" w:cs="Courier New"/>
                <w:sz w:val="20"/>
                <w:szCs w:val="20"/>
              </w:rPr>
            </w:pPr>
            <w:r w:rsidRPr="0033327B">
              <w:rPr>
                <w:rFonts w:ascii="Courier New" w:hAnsi="Courier New" w:cs="Courier New"/>
                <w:sz w:val="20"/>
                <w:szCs w:val="20"/>
              </w:rPr>
              <w:t>cluster</w:t>
            </w:r>
          </w:p>
        </w:tc>
        <w:tc>
          <w:tcPr>
            <w:tcW w:w="1080" w:type="dxa"/>
            <w:vAlign w:val="center"/>
          </w:tcPr>
          <w:p w14:paraId="4ADACEFF" w14:textId="69691BDE"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2.1.6</w:t>
            </w:r>
          </w:p>
        </w:tc>
      </w:tr>
      <w:tr w:rsidR="0033327B" w:rsidRPr="0033327B" w14:paraId="2834862B" w14:textId="77777777" w:rsidTr="00CF0EBA">
        <w:trPr>
          <w:jc w:val="center"/>
        </w:trPr>
        <w:tc>
          <w:tcPr>
            <w:tcW w:w="1710" w:type="dxa"/>
            <w:vAlign w:val="center"/>
          </w:tcPr>
          <w:p w14:paraId="28BF3416" w14:textId="59F3EA97"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ComplexHeatmap</w:t>
            </w:r>
            <w:proofErr w:type="spellEnd"/>
          </w:p>
        </w:tc>
        <w:tc>
          <w:tcPr>
            <w:tcW w:w="1080" w:type="dxa"/>
            <w:vAlign w:val="center"/>
          </w:tcPr>
          <w:p w14:paraId="4A3DF959" w14:textId="7D7B92B9"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2.21.1</w:t>
            </w:r>
          </w:p>
        </w:tc>
      </w:tr>
      <w:tr w:rsidR="0033327B" w:rsidRPr="0033327B" w14:paraId="65B30311" w14:textId="77777777" w:rsidTr="00CF0EBA">
        <w:trPr>
          <w:jc w:val="center"/>
        </w:trPr>
        <w:tc>
          <w:tcPr>
            <w:tcW w:w="1710" w:type="dxa"/>
            <w:vAlign w:val="center"/>
          </w:tcPr>
          <w:p w14:paraId="020BE828" w14:textId="30AC61A8"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ggrepel</w:t>
            </w:r>
            <w:proofErr w:type="spellEnd"/>
          </w:p>
        </w:tc>
        <w:tc>
          <w:tcPr>
            <w:tcW w:w="1080" w:type="dxa"/>
            <w:vAlign w:val="center"/>
          </w:tcPr>
          <w:p w14:paraId="1DD5F36A" w14:textId="602B41B2"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0.9.6</w:t>
            </w:r>
          </w:p>
        </w:tc>
      </w:tr>
      <w:tr w:rsidR="0033327B" w:rsidRPr="0033327B" w14:paraId="0E067482" w14:textId="77777777" w:rsidTr="00CF0EBA">
        <w:trPr>
          <w:jc w:val="center"/>
        </w:trPr>
        <w:tc>
          <w:tcPr>
            <w:tcW w:w="1710" w:type="dxa"/>
          </w:tcPr>
          <w:p w14:paraId="1C3E48B4" w14:textId="5E1B9FFC"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ggtext</w:t>
            </w:r>
            <w:proofErr w:type="spellEnd"/>
          </w:p>
        </w:tc>
        <w:tc>
          <w:tcPr>
            <w:tcW w:w="1080" w:type="dxa"/>
          </w:tcPr>
          <w:p w14:paraId="1C77F0BE" w14:textId="64D56747"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0.1.2</w:t>
            </w:r>
          </w:p>
        </w:tc>
      </w:tr>
      <w:tr w:rsidR="00CF0EBA" w:rsidRPr="0033327B" w14:paraId="28203F02" w14:textId="77777777" w:rsidTr="00CF0EBA">
        <w:trPr>
          <w:jc w:val="center"/>
        </w:trPr>
        <w:tc>
          <w:tcPr>
            <w:tcW w:w="1710" w:type="dxa"/>
          </w:tcPr>
          <w:p w14:paraId="262BD5CC" w14:textId="785EC317" w:rsidR="00CF0EBA" w:rsidRPr="0033327B" w:rsidRDefault="00CF0EBA" w:rsidP="00CF0EBA">
            <w:pPr>
              <w:widowControl/>
              <w:jc w:val="center"/>
              <w:rPr>
                <w:rFonts w:ascii="Courier New" w:hAnsi="Courier New" w:cs="Courier New"/>
                <w:sz w:val="20"/>
                <w:szCs w:val="20"/>
              </w:rPr>
            </w:pPr>
            <w:r>
              <w:rPr>
                <w:rFonts w:ascii="Courier New" w:hAnsi="Courier New" w:cs="Courier New"/>
                <w:sz w:val="20"/>
                <w:szCs w:val="20"/>
              </w:rPr>
              <w:t>grateful</w:t>
            </w:r>
          </w:p>
        </w:tc>
        <w:tc>
          <w:tcPr>
            <w:tcW w:w="1080" w:type="dxa"/>
          </w:tcPr>
          <w:p w14:paraId="7AB5B651" w14:textId="5DF831F9" w:rsidR="00CF0EBA" w:rsidRPr="0033327B" w:rsidRDefault="00CF0EBA" w:rsidP="00CF0EBA">
            <w:pPr>
              <w:widowControl/>
              <w:jc w:val="center"/>
              <w:rPr>
                <w:rFonts w:ascii="Times New Roman" w:hAnsi="Times New Roman" w:cs="Times New Roman"/>
                <w:sz w:val="20"/>
                <w:szCs w:val="20"/>
              </w:rPr>
            </w:pPr>
            <w:r w:rsidRPr="00CF0EBA">
              <w:rPr>
                <w:rFonts w:ascii="Times New Roman" w:hAnsi="Times New Roman" w:cs="Times New Roman"/>
                <w:sz w:val="20"/>
                <w:szCs w:val="20"/>
              </w:rPr>
              <w:t>0.2.10</w:t>
            </w:r>
          </w:p>
        </w:tc>
      </w:tr>
      <w:tr w:rsidR="0033327B" w:rsidRPr="0033327B" w14:paraId="7EBA9FD0" w14:textId="77777777" w:rsidTr="00CF0EBA">
        <w:trPr>
          <w:jc w:val="center"/>
        </w:trPr>
        <w:tc>
          <w:tcPr>
            <w:tcW w:w="1710" w:type="dxa"/>
          </w:tcPr>
          <w:p w14:paraId="29F86B63" w14:textId="03B15F8D"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hopach</w:t>
            </w:r>
            <w:proofErr w:type="spellEnd"/>
          </w:p>
        </w:tc>
        <w:tc>
          <w:tcPr>
            <w:tcW w:w="1080" w:type="dxa"/>
          </w:tcPr>
          <w:p w14:paraId="3A3C6D16" w14:textId="46AB4830"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2.62.0</w:t>
            </w:r>
          </w:p>
        </w:tc>
      </w:tr>
      <w:tr w:rsidR="0033327B" w:rsidRPr="0033327B" w14:paraId="0E5094DC" w14:textId="77777777" w:rsidTr="00CF0EBA">
        <w:trPr>
          <w:jc w:val="center"/>
        </w:trPr>
        <w:tc>
          <w:tcPr>
            <w:tcW w:w="1710" w:type="dxa"/>
          </w:tcPr>
          <w:p w14:paraId="5891FA61" w14:textId="14B8F00D" w:rsidR="0033327B" w:rsidRPr="0033327B" w:rsidRDefault="0033327B" w:rsidP="00CF0EBA">
            <w:pPr>
              <w:widowControl/>
              <w:jc w:val="center"/>
              <w:rPr>
                <w:rFonts w:ascii="Courier New" w:hAnsi="Courier New" w:cs="Courier New"/>
                <w:sz w:val="20"/>
                <w:szCs w:val="20"/>
              </w:rPr>
            </w:pPr>
            <w:r w:rsidRPr="0033327B">
              <w:rPr>
                <w:rFonts w:ascii="Courier New" w:hAnsi="Courier New" w:cs="Courier New"/>
                <w:sz w:val="20"/>
                <w:szCs w:val="20"/>
              </w:rPr>
              <w:t>janitor</w:t>
            </w:r>
          </w:p>
        </w:tc>
        <w:tc>
          <w:tcPr>
            <w:tcW w:w="1080" w:type="dxa"/>
          </w:tcPr>
          <w:p w14:paraId="733F32D4" w14:textId="15DDF020"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2.2.0</w:t>
            </w:r>
          </w:p>
        </w:tc>
      </w:tr>
      <w:tr w:rsidR="0033327B" w:rsidRPr="0033327B" w14:paraId="7D48E282" w14:textId="77777777" w:rsidTr="00CF0EBA">
        <w:trPr>
          <w:jc w:val="center"/>
        </w:trPr>
        <w:tc>
          <w:tcPr>
            <w:tcW w:w="1710" w:type="dxa"/>
          </w:tcPr>
          <w:p w14:paraId="181FD592" w14:textId="7941BA20" w:rsidR="0033327B" w:rsidRPr="0033327B" w:rsidRDefault="0033327B" w:rsidP="00CF0EBA">
            <w:pPr>
              <w:widowControl/>
              <w:jc w:val="center"/>
              <w:rPr>
                <w:rFonts w:ascii="Courier New" w:hAnsi="Courier New" w:cs="Courier New"/>
                <w:sz w:val="20"/>
                <w:szCs w:val="20"/>
              </w:rPr>
            </w:pPr>
            <w:proofErr w:type="spellStart"/>
            <w:r w:rsidRPr="0033327B">
              <w:rPr>
                <w:rFonts w:ascii="Courier New" w:hAnsi="Courier New" w:cs="Courier New"/>
                <w:sz w:val="20"/>
                <w:szCs w:val="20"/>
              </w:rPr>
              <w:t>tidyverse</w:t>
            </w:r>
            <w:proofErr w:type="spellEnd"/>
          </w:p>
        </w:tc>
        <w:tc>
          <w:tcPr>
            <w:tcW w:w="1080" w:type="dxa"/>
          </w:tcPr>
          <w:p w14:paraId="1851119E" w14:textId="698E5E80"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2.0.0</w:t>
            </w:r>
          </w:p>
        </w:tc>
      </w:tr>
      <w:tr w:rsidR="0033327B" w:rsidRPr="0033327B" w14:paraId="091836B0" w14:textId="77777777" w:rsidTr="00CF0EBA">
        <w:trPr>
          <w:jc w:val="center"/>
        </w:trPr>
        <w:tc>
          <w:tcPr>
            <w:tcW w:w="1710" w:type="dxa"/>
            <w:tcBorders>
              <w:bottom w:val="single" w:sz="4" w:space="0" w:color="auto"/>
            </w:tcBorders>
          </w:tcPr>
          <w:p w14:paraId="4A7905D2" w14:textId="57877558" w:rsidR="0033327B" w:rsidRPr="0033327B" w:rsidRDefault="0033327B" w:rsidP="00CF0EBA">
            <w:pPr>
              <w:widowControl/>
              <w:jc w:val="center"/>
              <w:rPr>
                <w:rFonts w:ascii="Courier New" w:hAnsi="Courier New" w:cs="Courier New"/>
                <w:sz w:val="20"/>
                <w:szCs w:val="20"/>
              </w:rPr>
            </w:pPr>
            <w:r w:rsidRPr="0033327B">
              <w:rPr>
                <w:rFonts w:ascii="Courier New" w:hAnsi="Courier New" w:cs="Courier New"/>
                <w:sz w:val="20"/>
                <w:szCs w:val="20"/>
              </w:rPr>
              <w:t>zip</w:t>
            </w:r>
          </w:p>
        </w:tc>
        <w:tc>
          <w:tcPr>
            <w:tcW w:w="1080" w:type="dxa"/>
            <w:tcBorders>
              <w:bottom w:val="single" w:sz="4" w:space="0" w:color="auto"/>
            </w:tcBorders>
          </w:tcPr>
          <w:p w14:paraId="1FE1157E" w14:textId="02AD8292" w:rsidR="0033327B" w:rsidRPr="0033327B" w:rsidRDefault="0033327B" w:rsidP="00CF0EBA">
            <w:pPr>
              <w:widowControl/>
              <w:jc w:val="center"/>
              <w:rPr>
                <w:rFonts w:ascii="Times New Roman" w:hAnsi="Times New Roman" w:cs="Times New Roman"/>
                <w:sz w:val="20"/>
                <w:szCs w:val="20"/>
              </w:rPr>
            </w:pPr>
            <w:r w:rsidRPr="0033327B">
              <w:rPr>
                <w:rFonts w:ascii="Times New Roman" w:hAnsi="Times New Roman" w:cs="Times New Roman"/>
                <w:sz w:val="20"/>
                <w:szCs w:val="20"/>
              </w:rPr>
              <w:t>2.3.1</w:t>
            </w:r>
          </w:p>
        </w:tc>
      </w:tr>
    </w:tbl>
    <w:p w14:paraId="2B29335C" w14:textId="77777777" w:rsidR="00852077" w:rsidRDefault="00852077" w:rsidP="001B728D">
      <w:pPr>
        <w:widowControl/>
        <w:jc w:val="left"/>
        <w:rPr>
          <w:rFonts w:ascii="Times New Roman" w:hAnsi="Times New Roman" w:cs="Times New Roman"/>
          <w:b/>
          <w:bCs/>
          <w:sz w:val="24"/>
        </w:rPr>
      </w:pPr>
    </w:p>
    <w:p w14:paraId="43749852" w14:textId="77777777" w:rsidR="00852077" w:rsidRDefault="00852077" w:rsidP="001B728D">
      <w:pPr>
        <w:widowControl/>
        <w:spacing w:line="480" w:lineRule="auto"/>
        <w:jc w:val="left"/>
        <w:rPr>
          <w:rFonts w:ascii="Times New Roman" w:hAnsi="Times New Roman" w:cs="Times New Roman"/>
          <w:b/>
          <w:bCs/>
          <w:sz w:val="24"/>
        </w:rPr>
      </w:pPr>
      <w:r>
        <w:rPr>
          <w:rFonts w:ascii="Times New Roman" w:hAnsi="Times New Roman" w:cs="Times New Roman"/>
          <w:b/>
          <w:bCs/>
          <w:sz w:val="24"/>
        </w:rPr>
        <w:br w:type="page"/>
      </w:r>
    </w:p>
    <w:p w14:paraId="4EE0C8A2" w14:textId="77777777" w:rsidR="00852077" w:rsidRPr="000F7A9C" w:rsidRDefault="00852077" w:rsidP="00CF0EBA">
      <w:pPr>
        <w:widowControl/>
        <w:jc w:val="left"/>
        <w:rPr>
          <w:rFonts w:ascii="Times New Roman" w:hAnsi="Times New Roman" w:cs="Times New Roman"/>
          <w:b/>
          <w:bCs/>
          <w:sz w:val="20"/>
          <w:szCs w:val="20"/>
        </w:rPr>
      </w:pPr>
      <w:r w:rsidRPr="000F7A9C">
        <w:rPr>
          <w:rFonts w:ascii="Times New Roman" w:hAnsi="Times New Roman" w:cs="Times New Roman"/>
          <w:b/>
          <w:bCs/>
          <w:sz w:val="20"/>
          <w:szCs w:val="20"/>
        </w:rPr>
        <w:lastRenderedPageBreak/>
        <w:t>Figure 1</w:t>
      </w:r>
    </w:p>
    <w:p w14:paraId="207DC8EB" w14:textId="77777777" w:rsidR="00852077" w:rsidRPr="00D064C5" w:rsidRDefault="00852077" w:rsidP="00CF0EBA">
      <w:pPr>
        <w:widowControl/>
        <w:jc w:val="left"/>
        <w:rPr>
          <w:rFonts w:ascii="Times New Roman" w:hAnsi="Times New Roman" w:cs="Times New Roman"/>
          <w:i/>
          <w:iCs/>
          <w:sz w:val="20"/>
          <w:szCs w:val="20"/>
        </w:rPr>
      </w:pPr>
      <w:r w:rsidRPr="00D064C5">
        <w:rPr>
          <w:rFonts w:ascii="Times New Roman" w:hAnsi="Times New Roman" w:cs="Times New Roman"/>
          <w:i/>
          <w:iCs/>
          <w:sz w:val="20"/>
          <w:szCs w:val="20"/>
        </w:rPr>
        <w:t>Hierarchical Cluster Analysis Heatmap of 239 NC High Schools</w:t>
      </w:r>
    </w:p>
    <w:p w14:paraId="2DF30B10" w14:textId="3B6CA987" w:rsidR="005506B8" w:rsidRDefault="00852077" w:rsidP="00CF0EBA">
      <w:pPr>
        <w:widowControl/>
        <w:jc w:val="left"/>
        <w:rPr>
          <w:rFonts w:ascii="Times New Roman" w:hAnsi="Times New Roman" w:cs="Times New Roman"/>
          <w:b/>
          <w:bCs/>
          <w:sz w:val="24"/>
        </w:rPr>
      </w:pPr>
      <w:r>
        <w:rPr>
          <w:rFonts w:ascii="Times New Roman" w:hAnsi="Times New Roman" w:cs="Times New Roman"/>
          <w:b/>
          <w:bCs/>
          <w:noProof/>
          <w:sz w:val="24"/>
        </w:rPr>
        <w:drawing>
          <wp:inline distT="0" distB="0" distL="0" distR="0" wp14:anchorId="52B07BC1" wp14:editId="16C51F57">
            <wp:extent cx="5943600" cy="7641590"/>
            <wp:effectExtent l="0" t="0" r="0" b="3810"/>
            <wp:docPr id="1975370947"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70947" name="Picture 2" descr="A screen 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641590"/>
                    </a:xfrm>
                    <a:prstGeom prst="rect">
                      <a:avLst/>
                    </a:prstGeom>
                  </pic:spPr>
                </pic:pic>
              </a:graphicData>
            </a:graphic>
          </wp:inline>
        </w:drawing>
      </w:r>
      <w:r w:rsidR="005506B8">
        <w:rPr>
          <w:rFonts w:ascii="Times New Roman" w:hAnsi="Times New Roman" w:cs="Times New Roman"/>
          <w:b/>
          <w:bCs/>
          <w:sz w:val="24"/>
        </w:rPr>
        <w:br w:type="page"/>
      </w:r>
    </w:p>
    <w:p w14:paraId="0A7DF546" w14:textId="77777777" w:rsidR="00852077" w:rsidRPr="00CF0EBA" w:rsidRDefault="00852077" w:rsidP="00CF0EBA">
      <w:pPr>
        <w:rPr>
          <w:rFonts w:ascii="Times New Roman" w:hAnsi="Times New Roman" w:cs="Times New Roman"/>
          <w:b/>
          <w:bCs/>
          <w:sz w:val="20"/>
          <w:szCs w:val="20"/>
        </w:rPr>
      </w:pPr>
      <w:r w:rsidRPr="00CF0EBA">
        <w:rPr>
          <w:rFonts w:ascii="Times New Roman" w:hAnsi="Times New Roman" w:cs="Times New Roman"/>
          <w:b/>
          <w:bCs/>
          <w:sz w:val="20"/>
          <w:szCs w:val="20"/>
        </w:rPr>
        <w:lastRenderedPageBreak/>
        <w:t>Figure 2</w:t>
      </w:r>
    </w:p>
    <w:p w14:paraId="1D37338E" w14:textId="77777777" w:rsidR="00852077" w:rsidRPr="00CF0EBA" w:rsidRDefault="00852077" w:rsidP="00CF0EBA">
      <w:pPr>
        <w:rPr>
          <w:rFonts w:ascii="Times New Roman" w:hAnsi="Times New Roman" w:cs="Times New Roman"/>
          <w:i/>
          <w:iCs/>
          <w:sz w:val="20"/>
          <w:szCs w:val="20"/>
        </w:rPr>
      </w:pPr>
      <w:r w:rsidRPr="00CF0EBA">
        <w:rPr>
          <w:rFonts w:ascii="Times New Roman" w:hAnsi="Times New Roman" w:cs="Times New Roman"/>
          <w:i/>
          <w:iCs/>
          <w:sz w:val="20"/>
          <w:szCs w:val="20"/>
        </w:rPr>
        <w:t xml:space="preserve">Bubble Plot: % AP Enrollment vs % College Enrollment </w:t>
      </w:r>
    </w:p>
    <w:p w14:paraId="4F54FFE9" w14:textId="3C3837D0" w:rsidR="00852077" w:rsidRPr="00CF0EBA" w:rsidRDefault="00852077" w:rsidP="00CF0EBA">
      <w:pPr>
        <w:widowControl/>
        <w:jc w:val="left"/>
        <w:rPr>
          <w:rFonts w:ascii="Times New Roman" w:hAnsi="Times New Roman" w:cs="Times New Roman"/>
          <w:b/>
          <w:bCs/>
          <w:sz w:val="20"/>
          <w:szCs w:val="20"/>
        </w:rPr>
      </w:pPr>
      <w:r w:rsidRPr="00CF0EBA">
        <w:rPr>
          <w:rFonts w:ascii="Times New Roman" w:hAnsi="Times New Roman" w:cs="Times New Roman"/>
          <w:b/>
          <w:bCs/>
          <w:noProof/>
          <w:sz w:val="20"/>
          <w:szCs w:val="20"/>
        </w:rPr>
        <w:drawing>
          <wp:inline distT="0" distB="0" distL="0" distR="0" wp14:anchorId="53C1FA7B" wp14:editId="51D14CEF">
            <wp:extent cx="5943600" cy="4679315"/>
            <wp:effectExtent l="0" t="0" r="0" b="0"/>
            <wp:docPr id="140302184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1845" name="Picture 7" descr="A screen 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79315"/>
                    </a:xfrm>
                    <a:prstGeom prst="rect">
                      <a:avLst/>
                    </a:prstGeom>
                  </pic:spPr>
                </pic:pic>
              </a:graphicData>
            </a:graphic>
          </wp:inline>
        </w:drawing>
      </w:r>
      <w:r w:rsidRPr="00CF0EBA">
        <w:rPr>
          <w:rFonts w:ascii="Times New Roman" w:hAnsi="Times New Roman" w:cs="Times New Roman"/>
          <w:b/>
          <w:bCs/>
          <w:sz w:val="20"/>
          <w:szCs w:val="20"/>
        </w:rPr>
        <w:br w:type="page"/>
      </w:r>
    </w:p>
    <w:p w14:paraId="0E8F6892" w14:textId="74828C80" w:rsidR="0006575F" w:rsidRPr="0006575F" w:rsidRDefault="00B97C36" w:rsidP="001B728D">
      <w:pPr>
        <w:spacing w:line="480" w:lineRule="auto"/>
        <w:jc w:val="center"/>
        <w:rPr>
          <w:rFonts w:ascii="Times New Roman" w:hAnsi="Times New Roman" w:cs="Times New Roman"/>
          <w:b/>
          <w:bCs/>
          <w:sz w:val="24"/>
        </w:rPr>
      </w:pPr>
      <w:r w:rsidRPr="00B97C36">
        <w:rPr>
          <w:rFonts w:ascii="Times New Roman" w:hAnsi="Times New Roman" w:cs="Times New Roman"/>
          <w:b/>
          <w:bCs/>
          <w:sz w:val="24"/>
        </w:rPr>
        <w:lastRenderedPageBreak/>
        <w:t>References</w:t>
      </w:r>
    </w:p>
    <w:p w14:paraId="484FA991" w14:textId="77777777" w:rsidR="00910E8B" w:rsidRDefault="00910E8B" w:rsidP="001B728D">
      <w:pPr>
        <w:spacing w:line="480" w:lineRule="auto"/>
        <w:ind w:left="720" w:hanging="720"/>
        <w:jc w:val="left"/>
        <w:rPr>
          <w:rFonts w:ascii="Times New Roman" w:hAnsi="Times New Roman" w:cs="Times New Roman"/>
          <w:sz w:val="24"/>
        </w:rPr>
      </w:pPr>
      <w:proofErr w:type="spellStart"/>
      <w:r w:rsidRPr="0049347B">
        <w:rPr>
          <w:rFonts w:ascii="Times New Roman" w:hAnsi="Times New Roman" w:cs="Times New Roman"/>
          <w:sz w:val="24"/>
        </w:rPr>
        <w:t>Attewell</w:t>
      </w:r>
      <w:proofErr w:type="spellEnd"/>
      <w:r>
        <w:rPr>
          <w:rFonts w:ascii="Times New Roman" w:hAnsi="Times New Roman" w:cs="Times New Roman"/>
          <w:sz w:val="24"/>
        </w:rPr>
        <w:t xml:space="preserve">, </w:t>
      </w:r>
      <w:r w:rsidRPr="0049347B">
        <w:rPr>
          <w:rFonts w:ascii="Times New Roman" w:hAnsi="Times New Roman" w:cs="Times New Roman"/>
          <w:sz w:val="24"/>
        </w:rPr>
        <w:t>P., &amp; Domina</w:t>
      </w:r>
      <w:r>
        <w:rPr>
          <w:rFonts w:ascii="Times New Roman" w:hAnsi="Times New Roman" w:cs="Times New Roman"/>
          <w:sz w:val="24"/>
        </w:rPr>
        <w:t xml:space="preserve">, </w:t>
      </w:r>
      <w:r w:rsidRPr="0049347B">
        <w:rPr>
          <w:rFonts w:ascii="Times New Roman" w:hAnsi="Times New Roman" w:cs="Times New Roman"/>
          <w:sz w:val="24"/>
        </w:rPr>
        <w:t xml:space="preserve">T. (2008). Raising the bar: Curricular intensity and academic performance. </w:t>
      </w:r>
      <w:r w:rsidRPr="0049347B">
        <w:rPr>
          <w:rFonts w:ascii="Times New Roman" w:hAnsi="Times New Roman" w:cs="Times New Roman"/>
          <w:i/>
          <w:iCs/>
          <w:sz w:val="24"/>
        </w:rPr>
        <w:t>Educational Evaluation and Policy Analysis, 30</w:t>
      </w:r>
      <w:r w:rsidRPr="0049347B">
        <w:rPr>
          <w:rFonts w:ascii="Times New Roman" w:hAnsi="Times New Roman" w:cs="Times New Roman"/>
          <w:sz w:val="24"/>
        </w:rPr>
        <w:t xml:space="preserve">(1), 51–71. </w:t>
      </w:r>
      <w:hyperlink r:id="rId11" w:history="1">
        <w:r w:rsidRPr="00F10F11">
          <w:rPr>
            <w:rStyle w:val="Hyperlink"/>
            <w:rFonts w:ascii="Times New Roman" w:hAnsi="Times New Roman" w:cs="Times New Roman"/>
            <w:sz w:val="24"/>
          </w:rPr>
          <w:t>https://doi.org/10.3102/0162373707313409</w:t>
        </w:r>
      </w:hyperlink>
    </w:p>
    <w:p w14:paraId="3328F206" w14:textId="77777777" w:rsidR="00910E8B" w:rsidRDefault="00910E8B" w:rsidP="001B728D">
      <w:pPr>
        <w:spacing w:line="480" w:lineRule="auto"/>
        <w:ind w:left="720" w:hanging="720"/>
        <w:jc w:val="left"/>
        <w:rPr>
          <w:rFonts w:ascii="Times New Roman" w:hAnsi="Times New Roman" w:cs="Times New Roman"/>
          <w:sz w:val="24"/>
        </w:rPr>
      </w:pPr>
      <w:r>
        <w:rPr>
          <w:rFonts w:ascii="Times New Roman" w:hAnsi="Times New Roman" w:cs="Times New Roman"/>
          <w:sz w:val="24"/>
        </w:rPr>
        <w:t xml:space="preserve">Bowers, A. J. (2007). </w:t>
      </w:r>
      <w:r w:rsidRPr="000935D3">
        <w:rPr>
          <w:rFonts w:ascii="Times New Roman" w:hAnsi="Times New Roman" w:cs="Times New Roman"/>
          <w:i/>
          <w:iCs/>
          <w:sz w:val="24"/>
        </w:rPr>
        <w:t>Grades and data driven decision making: Issues of variance and student patterns</w:t>
      </w:r>
      <w:r>
        <w:rPr>
          <w:rFonts w:ascii="Times New Roman" w:hAnsi="Times New Roman" w:cs="Times New Roman"/>
          <w:sz w:val="24"/>
        </w:rPr>
        <w:t xml:space="preserve"> [Doctoral dissertation, Michigan State University]. MSU Libraries Digital Repository. </w:t>
      </w:r>
      <w:hyperlink r:id="rId12" w:history="1">
        <w:r w:rsidRPr="00F10F11">
          <w:rPr>
            <w:rStyle w:val="Hyperlink"/>
            <w:rFonts w:ascii="Times New Roman" w:hAnsi="Times New Roman" w:cs="Times New Roman"/>
            <w:sz w:val="24"/>
          </w:rPr>
          <w:t>https://doi.org/doi:10.25335/bj21-3g32</w:t>
        </w:r>
      </w:hyperlink>
    </w:p>
    <w:p w14:paraId="44D99B8F" w14:textId="77777777" w:rsidR="00910E8B" w:rsidRDefault="00910E8B" w:rsidP="001B728D">
      <w:pPr>
        <w:spacing w:line="480" w:lineRule="auto"/>
        <w:ind w:left="720" w:hanging="720"/>
        <w:jc w:val="left"/>
        <w:rPr>
          <w:rFonts w:ascii="Times New Roman" w:hAnsi="Times New Roman" w:cs="Times New Roman"/>
          <w:sz w:val="24"/>
        </w:rPr>
      </w:pPr>
      <w:r w:rsidRPr="00661E2E">
        <w:rPr>
          <w:rFonts w:ascii="Times New Roman" w:hAnsi="Times New Roman" w:cs="Times New Roman"/>
          <w:sz w:val="24"/>
        </w:rPr>
        <w:t>Bowers, A. J. (2010). Analyzing the longitudinal K-12 grading histories of entire cohorts of students: Grades, data driven decision making, dropping out and hierarchical cluster analysis</w:t>
      </w:r>
      <w:r>
        <w:rPr>
          <w:rFonts w:ascii="Times New Roman" w:hAnsi="Times New Roman" w:cs="Times New Roman"/>
          <w:sz w:val="24"/>
        </w:rPr>
        <w:t xml:space="preserve">. </w:t>
      </w:r>
      <w:r w:rsidRPr="00661E2E">
        <w:rPr>
          <w:rFonts w:ascii="Times New Roman" w:hAnsi="Times New Roman" w:cs="Times New Roman"/>
          <w:i/>
          <w:iCs/>
          <w:sz w:val="24"/>
        </w:rPr>
        <w:t>Practical Assessment, Research, and Evaluation, 15</w:t>
      </w:r>
      <w:r w:rsidRPr="00661E2E">
        <w:rPr>
          <w:rFonts w:ascii="Times New Roman" w:hAnsi="Times New Roman" w:cs="Times New Roman"/>
          <w:sz w:val="24"/>
        </w:rPr>
        <w:t>(</w:t>
      </w:r>
      <w:r>
        <w:rPr>
          <w:rFonts w:ascii="Times New Roman" w:hAnsi="Times New Roman" w:cs="Times New Roman"/>
          <w:sz w:val="24"/>
        </w:rPr>
        <w:t>7</w:t>
      </w:r>
      <w:r w:rsidRPr="00661E2E">
        <w:rPr>
          <w:rFonts w:ascii="Times New Roman" w:hAnsi="Times New Roman" w:cs="Times New Roman"/>
          <w:sz w:val="24"/>
        </w:rPr>
        <w:t>)</w:t>
      </w:r>
      <w:r>
        <w:rPr>
          <w:rFonts w:ascii="Times New Roman" w:hAnsi="Times New Roman" w:cs="Times New Roman"/>
          <w:sz w:val="24"/>
        </w:rPr>
        <w:t xml:space="preserve">. </w:t>
      </w:r>
      <w:hyperlink r:id="rId13" w:history="1">
        <w:r w:rsidRPr="00F10F11">
          <w:rPr>
            <w:rStyle w:val="Hyperlink"/>
            <w:rFonts w:ascii="Times New Roman" w:hAnsi="Times New Roman" w:cs="Times New Roman"/>
            <w:sz w:val="24"/>
          </w:rPr>
          <w:t>https://doi.org/10.7275/r4zq-9c31</w:t>
        </w:r>
      </w:hyperlink>
    </w:p>
    <w:p w14:paraId="6B318C72" w14:textId="77777777" w:rsidR="00910E8B" w:rsidRDefault="00910E8B" w:rsidP="001B728D">
      <w:pPr>
        <w:spacing w:line="480" w:lineRule="auto"/>
        <w:ind w:left="720" w:hanging="720"/>
        <w:jc w:val="left"/>
        <w:rPr>
          <w:rFonts w:ascii="Times New Roman" w:hAnsi="Times New Roman" w:cs="Times New Roman"/>
          <w:sz w:val="24"/>
        </w:rPr>
      </w:pPr>
      <w:r w:rsidRPr="00B640E4">
        <w:rPr>
          <w:rFonts w:ascii="Times New Roman" w:hAnsi="Times New Roman" w:cs="Times New Roman"/>
          <w:sz w:val="24"/>
        </w:rPr>
        <w:t xml:space="preserve">Darling-Hammond, L. (2010). The anatomy of inequality: How the opportunity gap is constructed. In </w:t>
      </w:r>
      <w:r w:rsidRPr="00B640E4">
        <w:rPr>
          <w:rFonts w:ascii="Times New Roman" w:hAnsi="Times New Roman" w:cs="Times New Roman"/>
          <w:i/>
          <w:iCs/>
          <w:sz w:val="24"/>
        </w:rPr>
        <w:t>The flat world and education:</w:t>
      </w:r>
      <w:r w:rsidRPr="00B640E4">
        <w:rPr>
          <w:rFonts w:ascii="Times New Roman" w:hAnsi="Times New Roman" w:cs="Times New Roman"/>
          <w:sz w:val="24"/>
        </w:rPr>
        <w:t xml:space="preserve"> </w:t>
      </w:r>
      <w:r w:rsidRPr="00B640E4">
        <w:rPr>
          <w:rFonts w:ascii="Times New Roman" w:hAnsi="Times New Roman" w:cs="Times New Roman"/>
          <w:i/>
          <w:iCs/>
          <w:sz w:val="24"/>
        </w:rPr>
        <w:t>How</w:t>
      </w:r>
      <w:r w:rsidRPr="004F5CA7">
        <w:rPr>
          <w:rFonts w:ascii="Times New Roman" w:hAnsi="Times New Roman" w:cs="Times New Roman"/>
          <w:i/>
          <w:iCs/>
          <w:sz w:val="24"/>
        </w:rPr>
        <w:t xml:space="preserve"> America’s </w:t>
      </w:r>
      <w:r>
        <w:rPr>
          <w:rFonts w:ascii="Times New Roman" w:hAnsi="Times New Roman" w:cs="Times New Roman"/>
          <w:i/>
          <w:iCs/>
          <w:sz w:val="24"/>
        </w:rPr>
        <w:t>c</w:t>
      </w:r>
      <w:r w:rsidRPr="004F5CA7">
        <w:rPr>
          <w:rFonts w:ascii="Times New Roman" w:hAnsi="Times New Roman" w:cs="Times New Roman"/>
          <w:i/>
          <w:iCs/>
          <w:sz w:val="24"/>
        </w:rPr>
        <w:t xml:space="preserve">ommitment to </w:t>
      </w:r>
      <w:r>
        <w:rPr>
          <w:rFonts w:ascii="Times New Roman" w:hAnsi="Times New Roman" w:cs="Times New Roman"/>
          <w:i/>
          <w:iCs/>
          <w:sz w:val="24"/>
        </w:rPr>
        <w:t>e</w:t>
      </w:r>
      <w:r w:rsidRPr="004F5CA7">
        <w:rPr>
          <w:rFonts w:ascii="Times New Roman" w:hAnsi="Times New Roman" w:cs="Times New Roman"/>
          <w:i/>
          <w:iCs/>
          <w:sz w:val="24"/>
        </w:rPr>
        <w:t xml:space="preserve">quity Will </w:t>
      </w:r>
      <w:r>
        <w:rPr>
          <w:rFonts w:ascii="Times New Roman" w:hAnsi="Times New Roman" w:cs="Times New Roman"/>
          <w:i/>
          <w:iCs/>
          <w:sz w:val="24"/>
        </w:rPr>
        <w:t>d</w:t>
      </w:r>
      <w:r w:rsidRPr="004F5CA7">
        <w:rPr>
          <w:rFonts w:ascii="Times New Roman" w:hAnsi="Times New Roman" w:cs="Times New Roman"/>
          <w:i/>
          <w:iCs/>
          <w:sz w:val="24"/>
        </w:rPr>
        <w:t xml:space="preserve">etermine </w:t>
      </w:r>
      <w:r>
        <w:rPr>
          <w:rFonts w:ascii="Times New Roman" w:hAnsi="Times New Roman" w:cs="Times New Roman"/>
          <w:i/>
          <w:iCs/>
          <w:sz w:val="24"/>
        </w:rPr>
        <w:t>o</w:t>
      </w:r>
      <w:r w:rsidRPr="004F5CA7">
        <w:rPr>
          <w:rFonts w:ascii="Times New Roman" w:hAnsi="Times New Roman" w:cs="Times New Roman"/>
          <w:i/>
          <w:iCs/>
          <w:sz w:val="24"/>
        </w:rPr>
        <w:t xml:space="preserve">ur </w:t>
      </w:r>
      <w:r>
        <w:rPr>
          <w:rFonts w:ascii="Times New Roman" w:hAnsi="Times New Roman" w:cs="Times New Roman"/>
          <w:i/>
          <w:iCs/>
          <w:sz w:val="24"/>
        </w:rPr>
        <w:t>f</w:t>
      </w:r>
      <w:r w:rsidRPr="004F5CA7">
        <w:rPr>
          <w:rFonts w:ascii="Times New Roman" w:hAnsi="Times New Roman" w:cs="Times New Roman"/>
          <w:i/>
          <w:iCs/>
          <w:sz w:val="24"/>
        </w:rPr>
        <w:t>uture</w:t>
      </w:r>
      <w:r>
        <w:rPr>
          <w:rFonts w:ascii="Times New Roman" w:hAnsi="Times New Roman" w:cs="Times New Roman"/>
          <w:i/>
          <w:iCs/>
          <w:sz w:val="24"/>
        </w:rPr>
        <w:t xml:space="preserve"> </w:t>
      </w:r>
      <w:r>
        <w:rPr>
          <w:rFonts w:ascii="Times New Roman" w:hAnsi="Times New Roman" w:cs="Times New Roman"/>
          <w:sz w:val="24"/>
        </w:rPr>
        <w:t xml:space="preserve">(pp. 27–65). </w:t>
      </w:r>
      <w:r w:rsidRPr="004F5CA7">
        <w:rPr>
          <w:rFonts w:ascii="Times New Roman" w:hAnsi="Times New Roman" w:cs="Times New Roman"/>
          <w:sz w:val="24"/>
        </w:rPr>
        <w:t>Teachers College Press</w:t>
      </w:r>
      <w:r>
        <w:rPr>
          <w:rFonts w:ascii="Times New Roman" w:hAnsi="Times New Roman" w:cs="Times New Roman"/>
          <w:sz w:val="24"/>
        </w:rPr>
        <w:t xml:space="preserve">. Derived from </w:t>
      </w:r>
      <w:hyperlink r:id="rId14" w:history="1">
        <w:r w:rsidRPr="00F10F11">
          <w:rPr>
            <w:rStyle w:val="Hyperlink"/>
            <w:rFonts w:ascii="Times New Roman" w:hAnsi="Times New Roman" w:cs="Times New Roman"/>
            <w:sz w:val="24"/>
          </w:rPr>
          <w:t>https://www.uvm.edu/~rgriffin/Darling-Hammond-Anatomy.pdf</w:t>
        </w:r>
      </w:hyperlink>
    </w:p>
    <w:p w14:paraId="66E5E6E6" w14:textId="77777777" w:rsidR="00910E8B" w:rsidRDefault="00910E8B" w:rsidP="001B728D">
      <w:pPr>
        <w:spacing w:line="480" w:lineRule="auto"/>
        <w:ind w:left="720" w:hanging="720"/>
        <w:jc w:val="left"/>
        <w:rPr>
          <w:rFonts w:ascii="Times New Roman" w:hAnsi="Times New Roman" w:cs="Times New Roman"/>
          <w:sz w:val="24"/>
        </w:rPr>
      </w:pPr>
      <w:r w:rsidRPr="004F5CA7">
        <w:rPr>
          <w:rFonts w:ascii="Times New Roman" w:hAnsi="Times New Roman" w:cs="Times New Roman"/>
          <w:sz w:val="24"/>
        </w:rPr>
        <w:t>DeSantis, J. (2012).</w:t>
      </w:r>
      <w:r>
        <w:rPr>
          <w:rFonts w:ascii="Times New Roman" w:hAnsi="Times New Roman" w:cs="Times New Roman"/>
          <w:sz w:val="24"/>
        </w:rPr>
        <w:t xml:space="preserve"> The flat world and education: A review [Review of the book </w:t>
      </w:r>
      <w:r w:rsidRPr="00B640E4">
        <w:rPr>
          <w:rFonts w:ascii="Times New Roman" w:hAnsi="Times New Roman" w:cs="Times New Roman"/>
          <w:i/>
          <w:iCs/>
          <w:sz w:val="24"/>
        </w:rPr>
        <w:t>The flat world and education:</w:t>
      </w:r>
      <w:r w:rsidRPr="00B640E4">
        <w:rPr>
          <w:rFonts w:ascii="Times New Roman" w:hAnsi="Times New Roman" w:cs="Times New Roman"/>
          <w:sz w:val="24"/>
        </w:rPr>
        <w:t xml:space="preserve"> </w:t>
      </w:r>
      <w:r w:rsidRPr="00B640E4">
        <w:rPr>
          <w:rFonts w:ascii="Times New Roman" w:hAnsi="Times New Roman" w:cs="Times New Roman"/>
          <w:i/>
          <w:iCs/>
          <w:sz w:val="24"/>
        </w:rPr>
        <w:t>How</w:t>
      </w:r>
      <w:r w:rsidRPr="004F5CA7">
        <w:rPr>
          <w:rFonts w:ascii="Times New Roman" w:hAnsi="Times New Roman" w:cs="Times New Roman"/>
          <w:i/>
          <w:iCs/>
          <w:sz w:val="24"/>
        </w:rPr>
        <w:t xml:space="preserve"> America’s </w:t>
      </w:r>
      <w:r>
        <w:rPr>
          <w:rFonts w:ascii="Times New Roman" w:hAnsi="Times New Roman" w:cs="Times New Roman"/>
          <w:i/>
          <w:iCs/>
          <w:sz w:val="24"/>
        </w:rPr>
        <w:t>c</w:t>
      </w:r>
      <w:r w:rsidRPr="004F5CA7">
        <w:rPr>
          <w:rFonts w:ascii="Times New Roman" w:hAnsi="Times New Roman" w:cs="Times New Roman"/>
          <w:i/>
          <w:iCs/>
          <w:sz w:val="24"/>
        </w:rPr>
        <w:t xml:space="preserve">ommitment to </w:t>
      </w:r>
      <w:r>
        <w:rPr>
          <w:rFonts w:ascii="Times New Roman" w:hAnsi="Times New Roman" w:cs="Times New Roman"/>
          <w:i/>
          <w:iCs/>
          <w:sz w:val="24"/>
        </w:rPr>
        <w:t>e</w:t>
      </w:r>
      <w:r w:rsidRPr="004F5CA7">
        <w:rPr>
          <w:rFonts w:ascii="Times New Roman" w:hAnsi="Times New Roman" w:cs="Times New Roman"/>
          <w:i/>
          <w:iCs/>
          <w:sz w:val="24"/>
        </w:rPr>
        <w:t xml:space="preserve">quity Will </w:t>
      </w:r>
      <w:r>
        <w:rPr>
          <w:rFonts w:ascii="Times New Roman" w:hAnsi="Times New Roman" w:cs="Times New Roman"/>
          <w:i/>
          <w:iCs/>
          <w:sz w:val="24"/>
        </w:rPr>
        <w:t>d</w:t>
      </w:r>
      <w:r w:rsidRPr="004F5CA7">
        <w:rPr>
          <w:rFonts w:ascii="Times New Roman" w:hAnsi="Times New Roman" w:cs="Times New Roman"/>
          <w:i/>
          <w:iCs/>
          <w:sz w:val="24"/>
        </w:rPr>
        <w:t xml:space="preserve">etermine </w:t>
      </w:r>
      <w:r>
        <w:rPr>
          <w:rFonts w:ascii="Times New Roman" w:hAnsi="Times New Roman" w:cs="Times New Roman"/>
          <w:i/>
          <w:iCs/>
          <w:sz w:val="24"/>
        </w:rPr>
        <w:t>o</w:t>
      </w:r>
      <w:r w:rsidRPr="004F5CA7">
        <w:rPr>
          <w:rFonts w:ascii="Times New Roman" w:hAnsi="Times New Roman" w:cs="Times New Roman"/>
          <w:i/>
          <w:iCs/>
          <w:sz w:val="24"/>
        </w:rPr>
        <w:t xml:space="preserve">ur </w:t>
      </w:r>
      <w:r>
        <w:rPr>
          <w:rFonts w:ascii="Times New Roman" w:hAnsi="Times New Roman" w:cs="Times New Roman"/>
          <w:i/>
          <w:iCs/>
          <w:sz w:val="24"/>
        </w:rPr>
        <w:t>f</w:t>
      </w:r>
      <w:r w:rsidRPr="004F5CA7">
        <w:rPr>
          <w:rFonts w:ascii="Times New Roman" w:hAnsi="Times New Roman" w:cs="Times New Roman"/>
          <w:i/>
          <w:iCs/>
          <w:sz w:val="24"/>
        </w:rPr>
        <w:t>uture</w:t>
      </w:r>
      <w:r>
        <w:rPr>
          <w:rFonts w:ascii="Times New Roman" w:hAnsi="Times New Roman" w:cs="Times New Roman"/>
          <w:sz w:val="24"/>
        </w:rPr>
        <w:t xml:space="preserve">, by L. </w:t>
      </w:r>
      <w:r w:rsidRPr="00B640E4">
        <w:rPr>
          <w:rFonts w:ascii="Times New Roman" w:hAnsi="Times New Roman" w:cs="Times New Roman"/>
          <w:sz w:val="24"/>
        </w:rPr>
        <w:t>Darling-Hammon</w:t>
      </w:r>
      <w:r>
        <w:rPr>
          <w:rFonts w:ascii="Times New Roman" w:hAnsi="Times New Roman" w:cs="Times New Roman"/>
          <w:sz w:val="24"/>
        </w:rPr>
        <w:t xml:space="preserve">d]. </w:t>
      </w:r>
      <w:r w:rsidRPr="00E468EE">
        <w:rPr>
          <w:rFonts w:ascii="Times New Roman" w:hAnsi="Times New Roman" w:cs="Times New Roman"/>
          <w:i/>
          <w:iCs/>
          <w:sz w:val="24"/>
        </w:rPr>
        <w:t>International Journal of Progressive Education, 8</w:t>
      </w:r>
      <w:r w:rsidRPr="00E468EE">
        <w:rPr>
          <w:rFonts w:ascii="Times New Roman" w:hAnsi="Times New Roman" w:cs="Times New Roman"/>
          <w:sz w:val="24"/>
        </w:rPr>
        <w:t>(1), 35</w:t>
      </w:r>
      <w:r>
        <w:rPr>
          <w:rFonts w:ascii="Times New Roman" w:hAnsi="Times New Roman" w:cs="Times New Roman"/>
          <w:sz w:val="24"/>
        </w:rPr>
        <w:t>–</w:t>
      </w:r>
      <w:r w:rsidRPr="00E468EE">
        <w:rPr>
          <w:rFonts w:ascii="Times New Roman" w:hAnsi="Times New Roman" w:cs="Times New Roman"/>
          <w:sz w:val="24"/>
        </w:rPr>
        <w:t>38.</w:t>
      </w:r>
      <w:r>
        <w:rPr>
          <w:rFonts w:ascii="Times New Roman" w:hAnsi="Times New Roman" w:cs="Times New Roman"/>
          <w:sz w:val="24"/>
        </w:rPr>
        <w:t xml:space="preserve"> </w:t>
      </w:r>
      <w:hyperlink r:id="rId15" w:history="1">
        <w:r w:rsidRPr="00F10F11">
          <w:rPr>
            <w:rStyle w:val="Hyperlink"/>
            <w:rFonts w:ascii="Times New Roman" w:hAnsi="Times New Roman" w:cs="Times New Roman"/>
            <w:sz w:val="24"/>
          </w:rPr>
          <w:t>https://ijpe.inased.org/makale/2539</w:t>
        </w:r>
      </w:hyperlink>
    </w:p>
    <w:p w14:paraId="1CD7FE91" w14:textId="77777777" w:rsidR="00910E8B" w:rsidRDefault="00910E8B" w:rsidP="001B728D">
      <w:pPr>
        <w:spacing w:line="480" w:lineRule="auto"/>
        <w:ind w:left="720" w:hanging="720"/>
        <w:jc w:val="left"/>
        <w:rPr>
          <w:rFonts w:ascii="Times New Roman" w:hAnsi="Times New Roman" w:cs="Times New Roman"/>
          <w:sz w:val="24"/>
        </w:rPr>
      </w:pPr>
      <w:r w:rsidRPr="00EA0A1A">
        <w:rPr>
          <w:rFonts w:ascii="Times New Roman" w:hAnsi="Times New Roman" w:cs="Times New Roman"/>
          <w:sz w:val="24"/>
        </w:rPr>
        <w:t>Eisen, M. B., Spellman, P. T., Brown, P. O., &amp; Botstein, D. (1998). Cluster analysis and display of genome-wide expression patterns. </w:t>
      </w:r>
      <w:r w:rsidRPr="00EA0A1A">
        <w:rPr>
          <w:rFonts w:ascii="Times New Roman" w:hAnsi="Times New Roman" w:cs="Times New Roman"/>
          <w:i/>
          <w:iCs/>
          <w:sz w:val="24"/>
        </w:rPr>
        <w:t>Proceedings of the National Academy of Sciences of the United States of America</w:t>
      </w:r>
      <w:r w:rsidRPr="00EA0A1A">
        <w:rPr>
          <w:rFonts w:ascii="Times New Roman" w:hAnsi="Times New Roman" w:cs="Times New Roman"/>
          <w:sz w:val="24"/>
        </w:rPr>
        <w:t>, </w:t>
      </w:r>
      <w:r w:rsidRPr="00EA0A1A">
        <w:rPr>
          <w:rFonts w:ascii="Times New Roman" w:hAnsi="Times New Roman" w:cs="Times New Roman"/>
          <w:i/>
          <w:iCs/>
          <w:sz w:val="24"/>
        </w:rPr>
        <w:t>95</w:t>
      </w:r>
      <w:r w:rsidRPr="00EA0A1A">
        <w:rPr>
          <w:rFonts w:ascii="Times New Roman" w:hAnsi="Times New Roman" w:cs="Times New Roman"/>
          <w:sz w:val="24"/>
        </w:rPr>
        <w:t>(25), 14863</w:t>
      </w:r>
      <w:r>
        <w:rPr>
          <w:rFonts w:ascii="Times New Roman" w:hAnsi="Times New Roman" w:cs="Times New Roman"/>
          <w:sz w:val="24"/>
        </w:rPr>
        <w:t>–</w:t>
      </w:r>
      <w:r w:rsidRPr="00EA0A1A">
        <w:rPr>
          <w:rFonts w:ascii="Times New Roman" w:hAnsi="Times New Roman" w:cs="Times New Roman"/>
          <w:sz w:val="24"/>
        </w:rPr>
        <w:t xml:space="preserve">14868. </w:t>
      </w:r>
      <w:hyperlink r:id="rId16" w:history="1">
        <w:r w:rsidRPr="00F10F11">
          <w:rPr>
            <w:rStyle w:val="Hyperlink"/>
            <w:rFonts w:ascii="Times New Roman" w:hAnsi="Times New Roman" w:cs="Times New Roman"/>
            <w:sz w:val="24"/>
          </w:rPr>
          <w:t>https://doi.org/10.1073/pnas.95.25.14863</w:t>
        </w:r>
      </w:hyperlink>
    </w:p>
    <w:p w14:paraId="254DC191" w14:textId="77777777" w:rsidR="00910E8B" w:rsidRDefault="00910E8B" w:rsidP="001B728D">
      <w:pPr>
        <w:spacing w:line="480" w:lineRule="auto"/>
        <w:ind w:left="720" w:hanging="720"/>
        <w:jc w:val="left"/>
        <w:rPr>
          <w:rFonts w:ascii="Times New Roman" w:hAnsi="Times New Roman" w:cs="Times New Roman"/>
          <w:sz w:val="24"/>
        </w:rPr>
      </w:pPr>
      <w:r w:rsidRPr="00D47D3E">
        <w:rPr>
          <w:rFonts w:ascii="Times New Roman" w:hAnsi="Times New Roman" w:cs="Times New Roman"/>
          <w:sz w:val="24"/>
        </w:rPr>
        <w:lastRenderedPageBreak/>
        <w:t xml:space="preserve">Gamoran, Adam. (2001). American schooling and educational inequality: A forecast for the 21st century. </w:t>
      </w:r>
      <w:r w:rsidRPr="00D47D3E">
        <w:rPr>
          <w:rFonts w:ascii="Times New Roman" w:hAnsi="Times New Roman" w:cs="Times New Roman"/>
          <w:i/>
          <w:iCs/>
          <w:sz w:val="24"/>
        </w:rPr>
        <w:t>Sociology of Education, 74</w:t>
      </w:r>
      <w:r w:rsidRPr="00D47D3E">
        <w:rPr>
          <w:rFonts w:ascii="Times New Roman" w:hAnsi="Times New Roman" w:cs="Times New Roman"/>
          <w:sz w:val="24"/>
        </w:rPr>
        <w:t>, 135</w:t>
      </w:r>
      <w:r>
        <w:rPr>
          <w:rFonts w:ascii="Times New Roman" w:hAnsi="Times New Roman" w:cs="Times New Roman"/>
          <w:sz w:val="24"/>
        </w:rPr>
        <w:t>–</w:t>
      </w:r>
      <w:r w:rsidRPr="00D47D3E">
        <w:rPr>
          <w:rFonts w:ascii="Times New Roman" w:hAnsi="Times New Roman" w:cs="Times New Roman"/>
          <w:sz w:val="24"/>
        </w:rPr>
        <w:t xml:space="preserve">153. </w:t>
      </w:r>
      <w:hyperlink r:id="rId17" w:history="1">
        <w:r w:rsidRPr="00D47D3E">
          <w:rPr>
            <w:rStyle w:val="Hyperlink"/>
            <w:rFonts w:ascii="Times New Roman" w:hAnsi="Times New Roman" w:cs="Times New Roman"/>
            <w:sz w:val="24"/>
          </w:rPr>
          <w:t>https://doi.org/10.2307/2673258</w:t>
        </w:r>
      </w:hyperlink>
    </w:p>
    <w:p w14:paraId="330796B1" w14:textId="77777777" w:rsidR="00910E8B" w:rsidRDefault="00910E8B" w:rsidP="001B728D">
      <w:pPr>
        <w:spacing w:line="480" w:lineRule="auto"/>
        <w:ind w:left="720" w:hanging="720"/>
        <w:jc w:val="left"/>
        <w:rPr>
          <w:rFonts w:ascii="Times New Roman" w:hAnsi="Times New Roman" w:cs="Times New Roman"/>
          <w:sz w:val="24"/>
        </w:rPr>
      </w:pPr>
      <w:proofErr w:type="spellStart"/>
      <w:r w:rsidRPr="00221A1D">
        <w:rPr>
          <w:rFonts w:ascii="Times New Roman" w:hAnsi="Times New Roman" w:cs="Times New Roman"/>
          <w:sz w:val="24"/>
        </w:rPr>
        <w:t>GeeksforGeeks</w:t>
      </w:r>
      <w:proofErr w:type="spellEnd"/>
      <w:r w:rsidRPr="00221A1D">
        <w:rPr>
          <w:rFonts w:ascii="Times New Roman" w:hAnsi="Times New Roman" w:cs="Times New Roman"/>
          <w:sz w:val="24"/>
        </w:rPr>
        <w:t xml:space="preserve">. (2022, February 1). </w:t>
      </w:r>
      <w:r w:rsidRPr="00221A1D">
        <w:rPr>
          <w:rFonts w:ascii="Times New Roman" w:hAnsi="Times New Roman" w:cs="Times New Roman"/>
          <w:i/>
          <w:iCs/>
          <w:sz w:val="24"/>
        </w:rPr>
        <w:t>How to use na.rm in R?</w:t>
      </w:r>
      <w:r w:rsidRPr="00221A1D">
        <w:rPr>
          <w:rFonts w:ascii="Times New Roman" w:hAnsi="Times New Roman" w:cs="Times New Roman"/>
          <w:sz w:val="24"/>
        </w:rPr>
        <w:t xml:space="preserve"> </w:t>
      </w:r>
      <w:hyperlink r:id="rId18" w:history="1">
        <w:r w:rsidRPr="00221A1D">
          <w:rPr>
            <w:rStyle w:val="Hyperlink"/>
            <w:rFonts w:ascii="Times New Roman" w:hAnsi="Times New Roman" w:cs="Times New Roman"/>
            <w:sz w:val="24"/>
          </w:rPr>
          <w:t>https://www.geeksforgeeks.org/how-to-use-na-rm-in-r/</w:t>
        </w:r>
      </w:hyperlink>
      <w:r w:rsidRPr="00221A1D">
        <w:rPr>
          <w:rFonts w:ascii="Times New Roman" w:hAnsi="Times New Roman" w:cs="Times New Roman"/>
          <w:sz w:val="24"/>
        </w:rPr>
        <w:t xml:space="preserve"> </w:t>
      </w:r>
    </w:p>
    <w:p w14:paraId="452CD4EC" w14:textId="77777777" w:rsidR="00910E8B" w:rsidRDefault="00910E8B" w:rsidP="001B728D">
      <w:pPr>
        <w:spacing w:line="480" w:lineRule="auto"/>
        <w:ind w:left="720" w:hanging="720"/>
        <w:jc w:val="left"/>
        <w:rPr>
          <w:rFonts w:ascii="Times New Roman" w:hAnsi="Times New Roman" w:cs="Times New Roman"/>
          <w:sz w:val="24"/>
        </w:rPr>
      </w:pPr>
      <w:r w:rsidRPr="0049347B">
        <w:rPr>
          <w:rFonts w:ascii="Times New Roman" w:hAnsi="Times New Roman" w:cs="Times New Roman"/>
          <w:sz w:val="24"/>
        </w:rPr>
        <w:t>Godwin</w:t>
      </w:r>
      <w:r>
        <w:rPr>
          <w:rFonts w:ascii="Times New Roman" w:hAnsi="Times New Roman" w:cs="Times New Roman"/>
          <w:sz w:val="24"/>
        </w:rPr>
        <w:t xml:space="preserve">, J. (2023, </w:t>
      </w:r>
      <w:r w:rsidRPr="0049347B">
        <w:rPr>
          <w:rFonts w:ascii="Times New Roman" w:hAnsi="Times New Roman" w:cs="Times New Roman"/>
          <w:sz w:val="24"/>
        </w:rPr>
        <w:t>November 8</w:t>
      </w:r>
      <w:r>
        <w:rPr>
          <w:rFonts w:ascii="Times New Roman" w:hAnsi="Times New Roman" w:cs="Times New Roman"/>
          <w:sz w:val="24"/>
        </w:rPr>
        <w:t xml:space="preserve">). </w:t>
      </w:r>
      <w:r w:rsidRPr="0049347B">
        <w:rPr>
          <w:rFonts w:ascii="Times New Roman" w:hAnsi="Times New Roman" w:cs="Times New Roman"/>
          <w:sz w:val="24"/>
        </w:rPr>
        <w:t xml:space="preserve">Assessing the </w:t>
      </w:r>
      <w:r>
        <w:rPr>
          <w:rFonts w:ascii="Times New Roman" w:hAnsi="Times New Roman" w:cs="Times New Roman"/>
          <w:sz w:val="24"/>
        </w:rPr>
        <w:t>s</w:t>
      </w:r>
      <w:r w:rsidRPr="0049347B">
        <w:rPr>
          <w:rFonts w:ascii="Times New Roman" w:hAnsi="Times New Roman" w:cs="Times New Roman"/>
          <w:sz w:val="24"/>
        </w:rPr>
        <w:t xml:space="preserve">tate of STEM </w:t>
      </w:r>
      <w:r>
        <w:rPr>
          <w:rFonts w:ascii="Times New Roman" w:hAnsi="Times New Roman" w:cs="Times New Roman"/>
          <w:sz w:val="24"/>
        </w:rPr>
        <w:t>e</w:t>
      </w:r>
      <w:r w:rsidRPr="0049347B">
        <w:rPr>
          <w:rFonts w:ascii="Times New Roman" w:hAnsi="Times New Roman" w:cs="Times New Roman"/>
          <w:sz w:val="24"/>
        </w:rPr>
        <w:t xml:space="preserve">ducation </w:t>
      </w:r>
      <w:r>
        <w:rPr>
          <w:rFonts w:ascii="Times New Roman" w:hAnsi="Times New Roman" w:cs="Times New Roman"/>
          <w:sz w:val="24"/>
        </w:rPr>
        <w:t>t</w:t>
      </w:r>
      <w:r w:rsidRPr="0049347B">
        <w:rPr>
          <w:rFonts w:ascii="Times New Roman" w:hAnsi="Times New Roman" w:cs="Times New Roman"/>
          <w:sz w:val="24"/>
        </w:rPr>
        <w:t>his National STEM Day</w:t>
      </w:r>
      <w:r>
        <w:rPr>
          <w:rFonts w:ascii="Times New Roman" w:hAnsi="Times New Roman" w:cs="Times New Roman"/>
          <w:sz w:val="24"/>
        </w:rPr>
        <w:t xml:space="preserve">. </w:t>
      </w:r>
      <w:r w:rsidRPr="0049347B">
        <w:rPr>
          <w:rFonts w:ascii="Times New Roman" w:hAnsi="Times New Roman" w:cs="Times New Roman"/>
          <w:i/>
          <w:iCs/>
          <w:sz w:val="24"/>
        </w:rPr>
        <w:t>ACT.</w:t>
      </w:r>
      <w:r>
        <w:rPr>
          <w:rFonts w:ascii="Times New Roman" w:hAnsi="Times New Roman" w:cs="Times New Roman"/>
          <w:sz w:val="24"/>
        </w:rPr>
        <w:t xml:space="preserve"> </w:t>
      </w:r>
      <w:hyperlink r:id="rId19" w:history="1">
        <w:r w:rsidRPr="00F10F11">
          <w:rPr>
            <w:rStyle w:val="Hyperlink"/>
            <w:rFonts w:ascii="Times New Roman" w:hAnsi="Times New Roman" w:cs="Times New Roman"/>
            <w:sz w:val="24"/>
          </w:rPr>
          <w:t>https://leadershipblog.act.org/2023/11/national-stem-day.html</w:t>
        </w:r>
      </w:hyperlink>
    </w:p>
    <w:p w14:paraId="63F14CA8" w14:textId="77777777" w:rsidR="00910E8B" w:rsidRPr="008B2C34" w:rsidRDefault="00910E8B" w:rsidP="008B2C34">
      <w:pPr>
        <w:spacing w:line="480" w:lineRule="auto"/>
        <w:ind w:left="720" w:hanging="720"/>
        <w:jc w:val="left"/>
        <w:rPr>
          <w:rStyle w:val="Hyperlink"/>
          <w:rFonts w:ascii="Times New Roman" w:hAnsi="Times New Roman" w:cs="Times New Roman"/>
          <w:sz w:val="24"/>
        </w:rPr>
      </w:pPr>
      <w:r>
        <w:rPr>
          <w:rFonts w:ascii="Times New Roman" w:hAnsi="Times New Roman" w:cs="Times New Roman"/>
          <w:sz w:val="24"/>
        </w:rPr>
        <w:t>Gu, Z. (</w:t>
      </w:r>
      <w:r w:rsidRPr="00B97C36">
        <w:rPr>
          <w:rFonts w:ascii="Times New Roman" w:hAnsi="Times New Roman" w:cs="Times New Roman"/>
          <w:sz w:val="24"/>
        </w:rPr>
        <w:t>2022</w:t>
      </w:r>
      <w:r>
        <w:rPr>
          <w:rFonts w:ascii="Times New Roman" w:hAnsi="Times New Roman" w:cs="Times New Roman"/>
          <w:sz w:val="24"/>
        </w:rPr>
        <w:t xml:space="preserve">). </w:t>
      </w:r>
      <w:r w:rsidRPr="00B97C36">
        <w:rPr>
          <w:rFonts w:ascii="Times New Roman" w:hAnsi="Times New Roman" w:cs="Times New Roman"/>
          <w:sz w:val="24"/>
        </w:rPr>
        <w:t>Complex heatmap visualization</w:t>
      </w:r>
      <w:r>
        <w:rPr>
          <w:rFonts w:ascii="Times New Roman" w:hAnsi="Times New Roman" w:cs="Times New Roman"/>
          <w:sz w:val="24"/>
        </w:rPr>
        <w:t xml:space="preserve">. </w:t>
      </w:r>
      <w:proofErr w:type="spellStart"/>
      <w:r w:rsidRPr="00B97C36">
        <w:rPr>
          <w:rFonts w:ascii="Times New Roman" w:hAnsi="Times New Roman" w:cs="Times New Roman"/>
          <w:i/>
          <w:iCs/>
          <w:sz w:val="24"/>
        </w:rPr>
        <w:t>iMeta</w:t>
      </w:r>
      <w:proofErr w:type="spellEnd"/>
      <w:r w:rsidRPr="00B97C36">
        <w:rPr>
          <w:rFonts w:ascii="Times New Roman" w:hAnsi="Times New Roman" w:cs="Times New Roman"/>
          <w:i/>
          <w:iCs/>
          <w:sz w:val="24"/>
        </w:rPr>
        <w:t>, 1</w:t>
      </w:r>
      <w:r>
        <w:rPr>
          <w:rFonts w:ascii="Times New Roman" w:hAnsi="Times New Roman" w:cs="Times New Roman"/>
          <w:sz w:val="24"/>
        </w:rPr>
        <w:t xml:space="preserve">(3), </w:t>
      </w:r>
      <w:r w:rsidRPr="00B97C36">
        <w:rPr>
          <w:rFonts w:ascii="Times New Roman" w:hAnsi="Times New Roman" w:cs="Times New Roman"/>
          <w:sz w:val="24"/>
        </w:rPr>
        <w:t>e43</w:t>
      </w:r>
      <w:r>
        <w:rPr>
          <w:rFonts w:ascii="Times New Roman" w:hAnsi="Times New Roman" w:cs="Times New Roman"/>
          <w:sz w:val="24"/>
        </w:rPr>
        <w:t xml:space="preserve">. </w:t>
      </w:r>
      <w:hyperlink r:id="rId20" w:history="1">
        <w:r w:rsidRPr="00F10F11">
          <w:rPr>
            <w:rStyle w:val="Hyperlink"/>
            <w:rFonts w:ascii="Times New Roman" w:hAnsi="Times New Roman" w:cs="Times New Roman"/>
            <w:sz w:val="24"/>
          </w:rPr>
          <w:t>https://doi.org/10.1002/imt2.43</w:t>
        </w:r>
      </w:hyperlink>
    </w:p>
    <w:p w14:paraId="3B16AA97" w14:textId="77777777" w:rsidR="00910E8B" w:rsidRDefault="00910E8B" w:rsidP="008F4178">
      <w:pPr>
        <w:spacing w:line="480" w:lineRule="auto"/>
        <w:ind w:left="720" w:hanging="720"/>
        <w:jc w:val="left"/>
        <w:rPr>
          <w:rStyle w:val="Hyperlink"/>
          <w:rFonts w:ascii="Times New Roman" w:hAnsi="Times New Roman" w:cs="Times New Roman"/>
          <w:sz w:val="24"/>
        </w:rPr>
      </w:pPr>
      <w:r w:rsidRPr="008F4178">
        <w:rPr>
          <w:rFonts w:ascii="Times New Roman" w:hAnsi="Times New Roman" w:cs="Times New Roman"/>
          <w:sz w:val="24"/>
        </w:rPr>
        <w:t xml:space="preserve">Gu, Z., </w:t>
      </w:r>
      <w:proofErr w:type="spellStart"/>
      <w:r w:rsidRPr="008F4178">
        <w:rPr>
          <w:rFonts w:ascii="Times New Roman" w:hAnsi="Times New Roman" w:cs="Times New Roman"/>
          <w:sz w:val="24"/>
        </w:rPr>
        <w:t>Eils</w:t>
      </w:r>
      <w:proofErr w:type="spellEnd"/>
      <w:r w:rsidRPr="008F4178">
        <w:rPr>
          <w:rFonts w:ascii="Times New Roman" w:hAnsi="Times New Roman" w:cs="Times New Roman"/>
          <w:sz w:val="24"/>
        </w:rPr>
        <w:t xml:space="preserve">, R., &amp; </w:t>
      </w:r>
      <w:proofErr w:type="spellStart"/>
      <w:r w:rsidRPr="008F4178">
        <w:rPr>
          <w:rFonts w:ascii="Times New Roman" w:hAnsi="Times New Roman" w:cs="Times New Roman"/>
          <w:sz w:val="24"/>
        </w:rPr>
        <w:t>Schlesner</w:t>
      </w:r>
      <w:proofErr w:type="spellEnd"/>
      <w:r w:rsidRPr="008F4178">
        <w:rPr>
          <w:rFonts w:ascii="Times New Roman" w:hAnsi="Times New Roman" w:cs="Times New Roman"/>
          <w:sz w:val="24"/>
        </w:rPr>
        <w:t xml:space="preserve">, M. (2016). Complex heatmaps reveal patterns and correlations in multidimensional genomic data. </w:t>
      </w:r>
      <w:r w:rsidRPr="008F4178">
        <w:rPr>
          <w:rFonts w:ascii="Times New Roman" w:hAnsi="Times New Roman" w:cs="Times New Roman"/>
          <w:i/>
          <w:iCs/>
          <w:sz w:val="24"/>
        </w:rPr>
        <w:t>Bioinformatics, 32</w:t>
      </w:r>
      <w:r w:rsidRPr="008F4178">
        <w:rPr>
          <w:rFonts w:ascii="Times New Roman" w:hAnsi="Times New Roman" w:cs="Times New Roman"/>
          <w:sz w:val="24"/>
        </w:rPr>
        <w:t xml:space="preserve">(18), 2847–2849. </w:t>
      </w:r>
      <w:hyperlink r:id="rId21" w:history="1">
        <w:r w:rsidRPr="008F4178">
          <w:rPr>
            <w:rStyle w:val="Hyperlink"/>
            <w:rFonts w:ascii="Times New Roman" w:hAnsi="Times New Roman" w:cs="Times New Roman"/>
            <w:sz w:val="24"/>
          </w:rPr>
          <w:t>https://doi.org/10.1093/bioinformatics/btw313</w:t>
        </w:r>
      </w:hyperlink>
    </w:p>
    <w:p w14:paraId="6F9B295C" w14:textId="77777777" w:rsidR="00910E8B" w:rsidRPr="008F4178" w:rsidRDefault="00910E8B" w:rsidP="008F4178">
      <w:pPr>
        <w:spacing w:line="480" w:lineRule="auto"/>
        <w:ind w:left="720" w:hanging="720"/>
        <w:jc w:val="left"/>
        <w:rPr>
          <w:rFonts w:ascii="Times New Roman" w:hAnsi="Times New Roman" w:cs="Times New Roman"/>
          <w:sz w:val="24"/>
        </w:rPr>
      </w:pPr>
      <w:proofErr w:type="spellStart"/>
      <w:r>
        <w:rPr>
          <w:rFonts w:ascii="Times New Roman" w:hAnsi="Times New Roman" w:cs="Times New Roman"/>
          <w:color w:val="000000" w:themeColor="text1"/>
          <w:sz w:val="24"/>
        </w:rPr>
        <w:t>Handwerk</w:t>
      </w:r>
      <w:proofErr w:type="spellEnd"/>
      <w:r>
        <w:rPr>
          <w:rFonts w:ascii="Times New Roman" w:hAnsi="Times New Roman" w:cs="Times New Roman"/>
          <w:color w:val="000000" w:themeColor="text1"/>
          <w:sz w:val="24"/>
        </w:rPr>
        <w:t xml:space="preserve">, P., </w:t>
      </w:r>
      <w:proofErr w:type="spellStart"/>
      <w:r>
        <w:rPr>
          <w:rFonts w:ascii="Times New Roman" w:hAnsi="Times New Roman" w:cs="Times New Roman"/>
          <w:color w:val="000000" w:themeColor="text1"/>
          <w:sz w:val="24"/>
        </w:rPr>
        <w:t>Tognatta</w:t>
      </w:r>
      <w:proofErr w:type="spellEnd"/>
      <w:r>
        <w:rPr>
          <w:rFonts w:ascii="Times New Roman" w:hAnsi="Times New Roman" w:cs="Times New Roman"/>
          <w:color w:val="000000" w:themeColor="text1"/>
          <w:sz w:val="24"/>
        </w:rPr>
        <w:t xml:space="preserve">, N., Coley, R. J., &amp; </w:t>
      </w:r>
      <w:proofErr w:type="spellStart"/>
      <w:r>
        <w:rPr>
          <w:rFonts w:ascii="Times New Roman" w:hAnsi="Times New Roman" w:cs="Times New Roman"/>
          <w:color w:val="000000" w:themeColor="text1"/>
          <w:sz w:val="24"/>
        </w:rPr>
        <w:t>Gitomer</w:t>
      </w:r>
      <w:proofErr w:type="spellEnd"/>
      <w:r>
        <w:rPr>
          <w:rFonts w:ascii="Times New Roman" w:hAnsi="Times New Roman" w:cs="Times New Roman"/>
          <w:color w:val="000000" w:themeColor="text1"/>
          <w:sz w:val="24"/>
        </w:rPr>
        <w:t>, D. H. (</w:t>
      </w:r>
      <w:r w:rsidRPr="00F548C2">
        <w:rPr>
          <w:rFonts w:ascii="Times New Roman" w:hAnsi="Times New Roman" w:cs="Times New Roman"/>
          <w:color w:val="000000" w:themeColor="text1"/>
          <w:sz w:val="24"/>
        </w:rPr>
        <w:t>2008</w:t>
      </w:r>
      <w:r>
        <w:rPr>
          <w:rFonts w:ascii="Times New Roman" w:hAnsi="Times New Roman" w:cs="Times New Roman"/>
          <w:color w:val="000000" w:themeColor="text1"/>
          <w:sz w:val="24"/>
        </w:rPr>
        <w:t xml:space="preserve">). </w:t>
      </w:r>
      <w:r w:rsidRPr="00522CFB">
        <w:rPr>
          <w:rFonts w:ascii="Times New Roman" w:hAnsi="Times New Roman" w:cs="Times New Roman"/>
          <w:i/>
          <w:iCs/>
          <w:color w:val="000000" w:themeColor="text1"/>
          <w:sz w:val="24"/>
        </w:rPr>
        <w:t>Access to success: Patterns of advanced placement participation in U.S. high schools.</w:t>
      </w:r>
      <w:r>
        <w:rPr>
          <w:rFonts w:ascii="Times New Roman" w:hAnsi="Times New Roman" w:cs="Times New Roman"/>
          <w:color w:val="000000" w:themeColor="text1"/>
          <w:sz w:val="24"/>
        </w:rPr>
        <w:t xml:space="preserve"> </w:t>
      </w:r>
      <w:r w:rsidRPr="00522CFB">
        <w:rPr>
          <w:rFonts w:ascii="Times New Roman" w:hAnsi="Times New Roman" w:cs="Times New Roman"/>
          <w:color w:val="000000" w:themeColor="text1"/>
          <w:sz w:val="24"/>
        </w:rPr>
        <w:t>Educational Testing Service</w:t>
      </w:r>
      <w:r>
        <w:rPr>
          <w:rFonts w:ascii="Times New Roman" w:hAnsi="Times New Roman" w:cs="Times New Roman"/>
          <w:color w:val="000000" w:themeColor="text1"/>
          <w:sz w:val="24"/>
        </w:rPr>
        <w:t xml:space="preserve">. </w:t>
      </w:r>
      <w:hyperlink r:id="rId22" w:history="1">
        <w:r w:rsidRPr="00F10F11">
          <w:rPr>
            <w:rStyle w:val="Hyperlink"/>
            <w:rFonts w:ascii="Times New Roman" w:hAnsi="Times New Roman" w:cs="Times New Roman"/>
            <w:sz w:val="24"/>
          </w:rPr>
          <w:t>https://files.eric.ed.gov/fulltext/ED505556.pdf</w:t>
        </w:r>
      </w:hyperlink>
    </w:p>
    <w:p w14:paraId="2E8EABB4" w14:textId="77777777" w:rsidR="00910E8B" w:rsidRDefault="00910E8B" w:rsidP="001B728D">
      <w:pPr>
        <w:spacing w:line="480" w:lineRule="auto"/>
        <w:ind w:left="720" w:hanging="720"/>
        <w:jc w:val="left"/>
        <w:rPr>
          <w:rStyle w:val="Hyperlink"/>
          <w:rFonts w:ascii="Times New Roman" w:hAnsi="Times New Roman" w:cs="Times New Roman"/>
          <w:sz w:val="24"/>
        </w:rPr>
      </w:pPr>
      <w:r w:rsidRPr="00483BEB">
        <w:rPr>
          <w:rFonts w:ascii="Times New Roman" w:hAnsi="Times New Roman" w:cs="Times New Roman"/>
          <w:sz w:val="24"/>
        </w:rPr>
        <w:t>Hein, V.</w:t>
      </w:r>
      <w:r>
        <w:rPr>
          <w:rFonts w:ascii="Times New Roman" w:hAnsi="Times New Roman" w:cs="Times New Roman"/>
          <w:sz w:val="24"/>
        </w:rPr>
        <w:t>,</w:t>
      </w:r>
      <w:r w:rsidRPr="00483BEB">
        <w:rPr>
          <w:rFonts w:ascii="Times New Roman" w:hAnsi="Times New Roman" w:cs="Times New Roman"/>
          <w:sz w:val="24"/>
        </w:rPr>
        <w:t xml:space="preserve"> </w:t>
      </w:r>
      <w:proofErr w:type="spellStart"/>
      <w:r w:rsidRPr="00483BEB">
        <w:rPr>
          <w:rFonts w:ascii="Times New Roman" w:hAnsi="Times New Roman" w:cs="Times New Roman"/>
          <w:sz w:val="24"/>
        </w:rPr>
        <w:t>Smerdon</w:t>
      </w:r>
      <w:proofErr w:type="spellEnd"/>
      <w:r w:rsidRPr="00483BEB">
        <w:rPr>
          <w:rFonts w:ascii="Times New Roman" w:hAnsi="Times New Roman" w:cs="Times New Roman"/>
          <w:sz w:val="24"/>
        </w:rPr>
        <w:t>, B.</w:t>
      </w:r>
      <w:r>
        <w:rPr>
          <w:rFonts w:ascii="Times New Roman" w:hAnsi="Times New Roman" w:cs="Times New Roman"/>
          <w:sz w:val="24"/>
        </w:rPr>
        <w:t>, &amp;</w:t>
      </w:r>
      <w:r w:rsidRPr="00483BEB">
        <w:rPr>
          <w:rFonts w:ascii="Times New Roman" w:hAnsi="Times New Roman" w:cs="Times New Roman"/>
          <w:sz w:val="24"/>
        </w:rPr>
        <w:t xml:space="preserve"> </w:t>
      </w:r>
      <w:proofErr w:type="spellStart"/>
      <w:r w:rsidRPr="00483BEB">
        <w:rPr>
          <w:rFonts w:ascii="Times New Roman" w:hAnsi="Times New Roman" w:cs="Times New Roman"/>
          <w:sz w:val="24"/>
        </w:rPr>
        <w:t>Sambolt</w:t>
      </w:r>
      <w:proofErr w:type="spellEnd"/>
      <w:r w:rsidRPr="00483BEB">
        <w:rPr>
          <w:rFonts w:ascii="Times New Roman" w:hAnsi="Times New Roman" w:cs="Times New Roman"/>
          <w:sz w:val="24"/>
        </w:rPr>
        <w:t>, M.</w:t>
      </w:r>
      <w:r>
        <w:rPr>
          <w:rFonts w:ascii="Times New Roman" w:hAnsi="Times New Roman" w:cs="Times New Roman"/>
          <w:sz w:val="24"/>
        </w:rPr>
        <w:t xml:space="preserve"> (2013).</w:t>
      </w:r>
      <w:r w:rsidRPr="00483BEB">
        <w:rPr>
          <w:rFonts w:ascii="Times New Roman" w:hAnsi="Times New Roman" w:cs="Times New Roman"/>
          <w:sz w:val="24"/>
        </w:rPr>
        <w:t> </w:t>
      </w:r>
      <w:r w:rsidRPr="00483BEB">
        <w:rPr>
          <w:rFonts w:ascii="Times New Roman" w:hAnsi="Times New Roman" w:cs="Times New Roman"/>
          <w:i/>
          <w:iCs/>
          <w:sz w:val="24"/>
        </w:rPr>
        <w:t>Predictors of postsecondary success</w:t>
      </w:r>
      <w:r>
        <w:rPr>
          <w:rFonts w:ascii="Times New Roman" w:hAnsi="Times New Roman" w:cs="Times New Roman"/>
          <w:sz w:val="24"/>
        </w:rPr>
        <w:t xml:space="preserve">. </w:t>
      </w:r>
      <w:r w:rsidRPr="00DD1E04">
        <w:rPr>
          <w:rFonts w:ascii="Times New Roman" w:hAnsi="Times New Roman" w:cs="Times New Roman"/>
          <w:sz w:val="24"/>
        </w:rPr>
        <w:t>American Institutes for Research</w:t>
      </w:r>
      <w:r>
        <w:rPr>
          <w:rFonts w:ascii="Times New Roman" w:hAnsi="Times New Roman" w:cs="Times New Roman"/>
          <w:sz w:val="24"/>
        </w:rPr>
        <w:t xml:space="preserve">. </w:t>
      </w:r>
      <w:hyperlink r:id="rId23" w:history="1">
        <w:r w:rsidRPr="00561DD0">
          <w:rPr>
            <w:rStyle w:val="Hyperlink"/>
            <w:rFonts w:ascii="Times New Roman" w:hAnsi="Times New Roman" w:cs="Times New Roman"/>
            <w:sz w:val="24"/>
          </w:rPr>
          <w:t>https://files.eric.ed.gov/fulltext/ED555671.pdf</w:t>
        </w:r>
      </w:hyperlink>
    </w:p>
    <w:p w14:paraId="325DE6D7" w14:textId="77777777" w:rsidR="00910E8B" w:rsidRDefault="00910E8B" w:rsidP="001B728D">
      <w:pPr>
        <w:spacing w:line="480" w:lineRule="auto"/>
        <w:ind w:left="720" w:hanging="720"/>
        <w:jc w:val="left"/>
        <w:rPr>
          <w:rFonts w:ascii="Times New Roman" w:hAnsi="Times New Roman" w:cs="Times New Roman"/>
          <w:sz w:val="24"/>
        </w:rPr>
      </w:pPr>
      <w:r w:rsidRPr="004E4E03">
        <w:rPr>
          <w:rFonts w:ascii="Times New Roman" w:hAnsi="Times New Roman" w:cs="Times New Roman"/>
          <w:sz w:val="24"/>
        </w:rPr>
        <w:t>J</w:t>
      </w:r>
      <w:r>
        <w:rPr>
          <w:rFonts w:ascii="Times New Roman" w:hAnsi="Times New Roman" w:cs="Times New Roman"/>
          <w:sz w:val="24"/>
        </w:rPr>
        <w:t xml:space="preserve">ain, A. K., Murty, M. N., &amp; Flynn, P. J. (1999). Data clustering: A review. </w:t>
      </w:r>
      <w:r w:rsidRPr="004E4E03">
        <w:rPr>
          <w:rFonts w:ascii="Times New Roman" w:hAnsi="Times New Roman" w:cs="Times New Roman"/>
          <w:i/>
          <w:iCs/>
          <w:sz w:val="24"/>
        </w:rPr>
        <w:t>ACM Computing Surveys</w:t>
      </w:r>
      <w:r>
        <w:rPr>
          <w:rFonts w:ascii="Times New Roman" w:hAnsi="Times New Roman" w:cs="Times New Roman"/>
          <w:i/>
          <w:iCs/>
          <w:sz w:val="24"/>
        </w:rPr>
        <w:t xml:space="preserve"> (CSUR)</w:t>
      </w:r>
      <w:r w:rsidRPr="004E4E03">
        <w:rPr>
          <w:rFonts w:ascii="Times New Roman" w:hAnsi="Times New Roman" w:cs="Times New Roman"/>
          <w:i/>
          <w:iCs/>
          <w:sz w:val="24"/>
        </w:rPr>
        <w:t>, 31</w:t>
      </w:r>
      <w:r>
        <w:rPr>
          <w:rFonts w:ascii="Times New Roman" w:hAnsi="Times New Roman" w:cs="Times New Roman"/>
          <w:sz w:val="24"/>
        </w:rPr>
        <w:t xml:space="preserve">(3), 264–323. </w:t>
      </w:r>
      <w:hyperlink r:id="rId24" w:history="1">
        <w:r w:rsidRPr="00F10F11">
          <w:rPr>
            <w:rStyle w:val="Hyperlink"/>
            <w:rFonts w:ascii="Times New Roman" w:hAnsi="Times New Roman" w:cs="Times New Roman"/>
            <w:sz w:val="24"/>
          </w:rPr>
          <w:t>https://doi.org/10.1145/331499.331504</w:t>
        </w:r>
      </w:hyperlink>
    </w:p>
    <w:p w14:paraId="576DA6C3" w14:textId="77777777" w:rsidR="00910E8B" w:rsidRPr="00DD1E04" w:rsidRDefault="00910E8B" w:rsidP="001B728D">
      <w:pPr>
        <w:spacing w:line="480" w:lineRule="auto"/>
        <w:ind w:left="720" w:hanging="720"/>
        <w:jc w:val="left"/>
        <w:rPr>
          <w:rStyle w:val="Hyperlink"/>
          <w:rFonts w:ascii="Times New Roman" w:hAnsi="Times New Roman" w:cs="Times New Roman"/>
          <w:color w:val="auto"/>
          <w:sz w:val="24"/>
          <w:u w:val="none"/>
        </w:rPr>
      </w:pPr>
      <w:r w:rsidRPr="00CE09A4">
        <w:rPr>
          <w:rFonts w:ascii="Times New Roman" w:hAnsi="Times New Roman" w:cs="Times New Roman"/>
          <w:sz w:val="24"/>
        </w:rPr>
        <w:t>Joensen J.</w:t>
      </w:r>
      <w:r>
        <w:rPr>
          <w:rFonts w:ascii="Times New Roman" w:hAnsi="Times New Roman" w:cs="Times New Roman"/>
          <w:sz w:val="24"/>
        </w:rPr>
        <w:t xml:space="preserve"> S.</w:t>
      </w:r>
      <w:r w:rsidRPr="00CE09A4">
        <w:rPr>
          <w:rFonts w:ascii="Times New Roman" w:hAnsi="Times New Roman" w:cs="Times New Roman"/>
          <w:sz w:val="24"/>
        </w:rPr>
        <w:t xml:space="preserve">, </w:t>
      </w:r>
      <w:r>
        <w:rPr>
          <w:rFonts w:ascii="Times New Roman" w:hAnsi="Times New Roman" w:cs="Times New Roman"/>
          <w:sz w:val="24"/>
        </w:rPr>
        <w:t xml:space="preserve">&amp; </w:t>
      </w:r>
      <w:r w:rsidRPr="00CE09A4">
        <w:rPr>
          <w:rFonts w:ascii="Times New Roman" w:hAnsi="Times New Roman" w:cs="Times New Roman"/>
          <w:sz w:val="24"/>
        </w:rPr>
        <w:t>Nielsen</w:t>
      </w:r>
      <w:r>
        <w:rPr>
          <w:rFonts w:ascii="Times New Roman" w:hAnsi="Times New Roman" w:cs="Times New Roman"/>
          <w:sz w:val="24"/>
        </w:rPr>
        <w:t xml:space="preserve">, </w:t>
      </w:r>
      <w:r w:rsidRPr="00CE09A4">
        <w:rPr>
          <w:rFonts w:ascii="Times New Roman" w:hAnsi="Times New Roman" w:cs="Times New Roman"/>
          <w:sz w:val="24"/>
        </w:rPr>
        <w:t xml:space="preserve">H. </w:t>
      </w:r>
      <w:r>
        <w:rPr>
          <w:rFonts w:ascii="Times New Roman" w:hAnsi="Times New Roman" w:cs="Times New Roman"/>
          <w:sz w:val="24"/>
        </w:rPr>
        <w:t xml:space="preserve">S. </w:t>
      </w:r>
      <w:r w:rsidRPr="00CE09A4">
        <w:rPr>
          <w:rFonts w:ascii="Times New Roman" w:hAnsi="Times New Roman" w:cs="Times New Roman"/>
          <w:sz w:val="24"/>
        </w:rPr>
        <w:t>(2009). Is there a causal effect of high school math on labor market outcomes? </w:t>
      </w:r>
      <w:r w:rsidRPr="00CE09A4">
        <w:rPr>
          <w:rFonts w:ascii="Times New Roman" w:hAnsi="Times New Roman" w:cs="Times New Roman"/>
          <w:i/>
          <w:iCs/>
          <w:sz w:val="24"/>
        </w:rPr>
        <w:t>Journal of Human Resources</w:t>
      </w:r>
      <w:r w:rsidRPr="0049347B">
        <w:rPr>
          <w:rFonts w:ascii="Times New Roman" w:hAnsi="Times New Roman" w:cs="Times New Roman"/>
          <w:i/>
          <w:iCs/>
          <w:sz w:val="24"/>
        </w:rPr>
        <w:t>, 44</w:t>
      </w:r>
      <w:r w:rsidRPr="00CE09A4">
        <w:rPr>
          <w:rFonts w:ascii="Times New Roman" w:hAnsi="Times New Roman" w:cs="Times New Roman"/>
          <w:sz w:val="24"/>
        </w:rPr>
        <w:t>(1), 171–198.</w:t>
      </w:r>
      <w:r>
        <w:rPr>
          <w:rFonts w:ascii="Times New Roman" w:hAnsi="Times New Roman" w:cs="Times New Roman"/>
          <w:sz w:val="24"/>
        </w:rPr>
        <w:t xml:space="preserve"> </w:t>
      </w:r>
      <w:hyperlink r:id="rId25" w:history="1">
        <w:r w:rsidRPr="00F10F11">
          <w:rPr>
            <w:rStyle w:val="Hyperlink"/>
            <w:rFonts w:ascii="Times New Roman" w:hAnsi="Times New Roman" w:cs="Times New Roman"/>
            <w:sz w:val="24"/>
          </w:rPr>
          <w:t>https://doi.org/10.3368/jhr.44.1.171</w:t>
        </w:r>
      </w:hyperlink>
    </w:p>
    <w:p w14:paraId="24A36CD2" w14:textId="77777777" w:rsidR="00910E8B" w:rsidRDefault="00910E8B" w:rsidP="001B728D">
      <w:pPr>
        <w:spacing w:line="480" w:lineRule="auto"/>
        <w:ind w:left="720" w:hanging="720"/>
        <w:jc w:val="left"/>
        <w:rPr>
          <w:rFonts w:ascii="Times New Roman" w:hAnsi="Times New Roman" w:cs="Times New Roman"/>
          <w:sz w:val="24"/>
        </w:rPr>
      </w:pPr>
      <w:r w:rsidRPr="00483BEB">
        <w:rPr>
          <w:rFonts w:ascii="Times New Roman" w:hAnsi="Times New Roman" w:cs="Times New Roman"/>
          <w:sz w:val="24"/>
        </w:rPr>
        <w:t xml:space="preserve">Karp, M. M., Calcagno, J. C., Hughes, K. L., Jeong, D. W., &amp; Bailey, T. R. (2007). </w:t>
      </w:r>
      <w:r w:rsidRPr="00522CFB">
        <w:rPr>
          <w:rFonts w:ascii="Times New Roman" w:hAnsi="Times New Roman" w:cs="Times New Roman"/>
          <w:i/>
          <w:iCs/>
          <w:sz w:val="24"/>
        </w:rPr>
        <w:t xml:space="preserve">The postsecondary achievement of participants in dual enrollment: An analysis of student outcomes in two states. </w:t>
      </w:r>
      <w:r w:rsidRPr="00522CFB">
        <w:rPr>
          <w:rFonts w:ascii="Times New Roman" w:hAnsi="Times New Roman" w:cs="Times New Roman"/>
          <w:sz w:val="24"/>
        </w:rPr>
        <w:t>National Research Center for Career and Technical Education</w:t>
      </w:r>
      <w:r>
        <w:rPr>
          <w:rFonts w:ascii="Times New Roman" w:hAnsi="Times New Roman" w:cs="Times New Roman"/>
          <w:sz w:val="24"/>
        </w:rPr>
        <w:t xml:space="preserve">. </w:t>
      </w:r>
      <w:hyperlink r:id="rId26" w:history="1">
        <w:r w:rsidRPr="00F10F11">
          <w:rPr>
            <w:rStyle w:val="Hyperlink"/>
            <w:rFonts w:ascii="Times New Roman" w:hAnsi="Times New Roman" w:cs="Times New Roman"/>
            <w:sz w:val="24"/>
          </w:rPr>
          <w:t>https://files.eric.ed.gov/fulltext/ED498661.pdf</w:t>
        </w:r>
      </w:hyperlink>
    </w:p>
    <w:p w14:paraId="2C926FEF" w14:textId="77777777" w:rsidR="00910E8B" w:rsidRDefault="00910E8B" w:rsidP="001B728D">
      <w:pPr>
        <w:spacing w:line="480" w:lineRule="auto"/>
        <w:ind w:left="720" w:hanging="720"/>
        <w:jc w:val="left"/>
        <w:rPr>
          <w:rFonts w:ascii="Times New Roman" w:hAnsi="Times New Roman" w:cs="Times New Roman"/>
          <w:sz w:val="24"/>
        </w:rPr>
      </w:pPr>
      <w:r w:rsidRPr="0049347B">
        <w:rPr>
          <w:rFonts w:ascii="Times New Roman" w:hAnsi="Times New Roman" w:cs="Times New Roman"/>
          <w:sz w:val="24"/>
        </w:rPr>
        <w:t xml:space="preserve">Lee, J. (2012). College for all: Gaps between desirable and actual P–12 math achievement trajectories for college readiness. </w:t>
      </w:r>
      <w:r w:rsidRPr="0049347B">
        <w:rPr>
          <w:rFonts w:ascii="Times New Roman" w:hAnsi="Times New Roman" w:cs="Times New Roman"/>
          <w:i/>
          <w:iCs/>
          <w:sz w:val="24"/>
        </w:rPr>
        <w:t>Educational Researcher, 41</w:t>
      </w:r>
      <w:r w:rsidRPr="0049347B">
        <w:rPr>
          <w:rFonts w:ascii="Times New Roman" w:hAnsi="Times New Roman" w:cs="Times New Roman"/>
          <w:sz w:val="24"/>
        </w:rPr>
        <w:t>(2), 43</w:t>
      </w:r>
      <w:r>
        <w:rPr>
          <w:rFonts w:ascii="Times New Roman" w:hAnsi="Times New Roman" w:cs="Times New Roman"/>
          <w:sz w:val="24"/>
        </w:rPr>
        <w:t>–</w:t>
      </w:r>
      <w:r w:rsidRPr="0049347B">
        <w:rPr>
          <w:rFonts w:ascii="Times New Roman" w:hAnsi="Times New Roman" w:cs="Times New Roman"/>
          <w:sz w:val="24"/>
        </w:rPr>
        <w:t xml:space="preserve">55. </w:t>
      </w:r>
      <w:hyperlink r:id="rId27" w:history="1">
        <w:r w:rsidRPr="00F10F11">
          <w:rPr>
            <w:rStyle w:val="Hyperlink"/>
            <w:rFonts w:ascii="Times New Roman" w:hAnsi="Times New Roman" w:cs="Times New Roman"/>
            <w:sz w:val="24"/>
          </w:rPr>
          <w:t>https://doi.org/10.3102/0013189X11432746</w:t>
        </w:r>
      </w:hyperlink>
    </w:p>
    <w:p w14:paraId="08DCEDC8" w14:textId="77777777" w:rsidR="00910E8B" w:rsidRDefault="00910E8B" w:rsidP="001B728D">
      <w:pPr>
        <w:spacing w:line="480" w:lineRule="auto"/>
        <w:ind w:left="720" w:hanging="720"/>
        <w:jc w:val="left"/>
        <w:rPr>
          <w:rFonts w:ascii="Times New Roman" w:hAnsi="Times New Roman" w:cs="Times New Roman"/>
          <w:sz w:val="24"/>
        </w:rPr>
      </w:pPr>
      <w:r w:rsidRPr="00B97C36">
        <w:rPr>
          <w:rFonts w:ascii="Times New Roman" w:hAnsi="Times New Roman" w:cs="Times New Roman"/>
          <w:sz w:val="24"/>
        </w:rPr>
        <w:t xml:space="preserve">Lee, J. E., Recker, M., Bowers, A. J., &amp; Yuan, M. (2016). Hierarchical </w:t>
      </w:r>
      <w:r>
        <w:rPr>
          <w:rFonts w:ascii="Times New Roman" w:hAnsi="Times New Roman" w:cs="Times New Roman"/>
          <w:sz w:val="24"/>
        </w:rPr>
        <w:t>c</w:t>
      </w:r>
      <w:r w:rsidRPr="00B97C36">
        <w:rPr>
          <w:rFonts w:ascii="Times New Roman" w:hAnsi="Times New Roman" w:cs="Times New Roman"/>
          <w:sz w:val="24"/>
        </w:rPr>
        <w:t xml:space="preserve">luster </w:t>
      </w:r>
      <w:r>
        <w:rPr>
          <w:rFonts w:ascii="Times New Roman" w:hAnsi="Times New Roman" w:cs="Times New Roman"/>
          <w:sz w:val="24"/>
        </w:rPr>
        <w:t>a</w:t>
      </w:r>
      <w:r w:rsidRPr="00B97C36">
        <w:rPr>
          <w:rFonts w:ascii="Times New Roman" w:hAnsi="Times New Roman" w:cs="Times New Roman"/>
          <w:sz w:val="24"/>
        </w:rPr>
        <w:t xml:space="preserve">nalysis </w:t>
      </w:r>
      <w:r>
        <w:rPr>
          <w:rFonts w:ascii="Times New Roman" w:hAnsi="Times New Roman" w:cs="Times New Roman"/>
          <w:sz w:val="24"/>
        </w:rPr>
        <w:t>h</w:t>
      </w:r>
      <w:r w:rsidRPr="00B97C36">
        <w:rPr>
          <w:rFonts w:ascii="Times New Roman" w:hAnsi="Times New Roman" w:cs="Times New Roman"/>
          <w:sz w:val="24"/>
        </w:rPr>
        <w:t xml:space="preserve">eatmaps and </w:t>
      </w:r>
      <w:r>
        <w:rPr>
          <w:rFonts w:ascii="Times New Roman" w:hAnsi="Times New Roman" w:cs="Times New Roman"/>
          <w:sz w:val="24"/>
        </w:rPr>
        <w:t>p</w:t>
      </w:r>
      <w:r w:rsidRPr="00B97C36">
        <w:rPr>
          <w:rFonts w:ascii="Times New Roman" w:hAnsi="Times New Roman" w:cs="Times New Roman"/>
          <w:sz w:val="24"/>
        </w:rPr>
        <w:t xml:space="preserve">attern </w:t>
      </w:r>
      <w:r>
        <w:rPr>
          <w:rFonts w:ascii="Times New Roman" w:hAnsi="Times New Roman" w:cs="Times New Roman"/>
          <w:sz w:val="24"/>
        </w:rPr>
        <w:t>a</w:t>
      </w:r>
      <w:r w:rsidRPr="00B97C36">
        <w:rPr>
          <w:rFonts w:ascii="Times New Roman" w:hAnsi="Times New Roman" w:cs="Times New Roman"/>
          <w:sz w:val="24"/>
        </w:rPr>
        <w:t xml:space="preserve">nalysis: An </w:t>
      </w:r>
      <w:r>
        <w:rPr>
          <w:rFonts w:ascii="Times New Roman" w:hAnsi="Times New Roman" w:cs="Times New Roman"/>
          <w:sz w:val="24"/>
        </w:rPr>
        <w:t>a</w:t>
      </w:r>
      <w:r w:rsidRPr="00B97C36">
        <w:rPr>
          <w:rFonts w:ascii="Times New Roman" w:hAnsi="Times New Roman" w:cs="Times New Roman"/>
          <w:sz w:val="24"/>
        </w:rPr>
        <w:t xml:space="preserve">pproach for </w:t>
      </w:r>
      <w:r>
        <w:rPr>
          <w:rFonts w:ascii="Times New Roman" w:hAnsi="Times New Roman" w:cs="Times New Roman"/>
          <w:sz w:val="24"/>
        </w:rPr>
        <w:t>v</w:t>
      </w:r>
      <w:r w:rsidRPr="00B97C36">
        <w:rPr>
          <w:rFonts w:ascii="Times New Roman" w:hAnsi="Times New Roman" w:cs="Times New Roman"/>
          <w:sz w:val="24"/>
        </w:rPr>
        <w:t xml:space="preserve">isualizing </w:t>
      </w:r>
      <w:r>
        <w:rPr>
          <w:rFonts w:ascii="Times New Roman" w:hAnsi="Times New Roman" w:cs="Times New Roman"/>
          <w:sz w:val="24"/>
        </w:rPr>
        <w:t>l</w:t>
      </w:r>
      <w:r w:rsidRPr="00B97C36">
        <w:rPr>
          <w:rFonts w:ascii="Times New Roman" w:hAnsi="Times New Roman" w:cs="Times New Roman"/>
          <w:sz w:val="24"/>
        </w:rPr>
        <w:t xml:space="preserve">earning </w:t>
      </w:r>
      <w:r>
        <w:rPr>
          <w:rFonts w:ascii="Times New Roman" w:hAnsi="Times New Roman" w:cs="Times New Roman"/>
          <w:sz w:val="24"/>
        </w:rPr>
        <w:t>m</w:t>
      </w:r>
      <w:r w:rsidRPr="00B97C36">
        <w:rPr>
          <w:rFonts w:ascii="Times New Roman" w:hAnsi="Times New Roman" w:cs="Times New Roman"/>
          <w:sz w:val="24"/>
        </w:rPr>
        <w:t xml:space="preserve">anagement </w:t>
      </w:r>
      <w:r>
        <w:rPr>
          <w:rFonts w:ascii="Times New Roman" w:hAnsi="Times New Roman" w:cs="Times New Roman"/>
          <w:sz w:val="24"/>
        </w:rPr>
        <w:t>s</w:t>
      </w:r>
      <w:r w:rsidRPr="00B97C36">
        <w:rPr>
          <w:rFonts w:ascii="Times New Roman" w:hAnsi="Times New Roman" w:cs="Times New Roman"/>
          <w:sz w:val="24"/>
        </w:rPr>
        <w:t xml:space="preserve">ystem </w:t>
      </w:r>
      <w:r>
        <w:rPr>
          <w:rFonts w:ascii="Times New Roman" w:hAnsi="Times New Roman" w:cs="Times New Roman"/>
          <w:sz w:val="24"/>
        </w:rPr>
        <w:t>i</w:t>
      </w:r>
      <w:r w:rsidRPr="00B97C36">
        <w:rPr>
          <w:rFonts w:ascii="Times New Roman" w:hAnsi="Times New Roman" w:cs="Times New Roman"/>
          <w:sz w:val="24"/>
        </w:rPr>
        <w:t xml:space="preserve">nteraction </w:t>
      </w:r>
      <w:r>
        <w:rPr>
          <w:rFonts w:ascii="Times New Roman" w:hAnsi="Times New Roman" w:cs="Times New Roman"/>
          <w:sz w:val="24"/>
        </w:rPr>
        <w:t>d</w:t>
      </w:r>
      <w:r w:rsidRPr="00B97C36">
        <w:rPr>
          <w:rFonts w:ascii="Times New Roman" w:hAnsi="Times New Roman" w:cs="Times New Roman"/>
          <w:sz w:val="24"/>
        </w:rPr>
        <w:t xml:space="preserve">ata. </w:t>
      </w:r>
      <w:r>
        <w:rPr>
          <w:rFonts w:ascii="Times New Roman" w:hAnsi="Times New Roman" w:cs="Times New Roman"/>
          <w:sz w:val="24"/>
        </w:rPr>
        <w:t xml:space="preserve">In </w:t>
      </w:r>
      <w:r w:rsidRPr="00841B8E">
        <w:rPr>
          <w:rFonts w:ascii="Times New Roman" w:hAnsi="Times New Roman" w:cs="Times New Roman"/>
          <w:sz w:val="24"/>
        </w:rPr>
        <w:t>T</w:t>
      </w:r>
      <w:r>
        <w:rPr>
          <w:rFonts w:ascii="Times New Roman" w:hAnsi="Times New Roman" w:cs="Times New Roman"/>
          <w:sz w:val="24"/>
        </w:rPr>
        <w:t>.</w:t>
      </w:r>
      <w:r w:rsidRPr="00841B8E">
        <w:rPr>
          <w:rFonts w:ascii="Times New Roman" w:hAnsi="Times New Roman" w:cs="Times New Roman"/>
          <w:sz w:val="24"/>
        </w:rPr>
        <w:t xml:space="preserve"> Barnes, M</w:t>
      </w:r>
      <w:r>
        <w:rPr>
          <w:rFonts w:ascii="Times New Roman" w:hAnsi="Times New Roman" w:cs="Times New Roman"/>
          <w:sz w:val="24"/>
        </w:rPr>
        <w:t>.</w:t>
      </w:r>
      <w:r w:rsidRPr="00841B8E">
        <w:rPr>
          <w:rFonts w:ascii="Times New Roman" w:hAnsi="Times New Roman" w:cs="Times New Roman"/>
          <w:sz w:val="24"/>
        </w:rPr>
        <w:t xml:space="preserve"> Chi</w:t>
      </w:r>
      <w:r>
        <w:rPr>
          <w:rFonts w:ascii="Times New Roman" w:hAnsi="Times New Roman" w:cs="Times New Roman"/>
          <w:sz w:val="24"/>
        </w:rPr>
        <w:t>, &amp;</w:t>
      </w:r>
      <w:r w:rsidRPr="00841B8E">
        <w:rPr>
          <w:rFonts w:ascii="Times New Roman" w:hAnsi="Times New Roman" w:cs="Times New Roman"/>
          <w:sz w:val="24"/>
        </w:rPr>
        <w:t xml:space="preserve"> M</w:t>
      </w:r>
      <w:r>
        <w:rPr>
          <w:rFonts w:ascii="Times New Roman" w:hAnsi="Times New Roman" w:cs="Times New Roman"/>
          <w:sz w:val="24"/>
        </w:rPr>
        <w:t>.</w:t>
      </w:r>
      <w:r w:rsidRPr="00841B8E">
        <w:rPr>
          <w:rFonts w:ascii="Times New Roman" w:hAnsi="Times New Roman" w:cs="Times New Roman"/>
          <w:sz w:val="24"/>
        </w:rPr>
        <w:t xml:space="preserve"> Feng (</w:t>
      </w:r>
      <w:r>
        <w:rPr>
          <w:rFonts w:ascii="Times New Roman" w:hAnsi="Times New Roman" w:cs="Times New Roman"/>
          <w:sz w:val="24"/>
        </w:rPr>
        <w:t>E</w:t>
      </w:r>
      <w:r w:rsidRPr="00841B8E">
        <w:rPr>
          <w:rFonts w:ascii="Times New Roman" w:hAnsi="Times New Roman" w:cs="Times New Roman"/>
          <w:sz w:val="24"/>
        </w:rPr>
        <w:t>ds.)</w:t>
      </w:r>
      <w:r>
        <w:rPr>
          <w:rFonts w:ascii="Times New Roman" w:hAnsi="Times New Roman" w:cs="Times New Roman"/>
          <w:sz w:val="24"/>
        </w:rPr>
        <w:t xml:space="preserve">, </w:t>
      </w:r>
      <w:r w:rsidRPr="00841B8E">
        <w:rPr>
          <w:rFonts w:ascii="Times New Roman" w:hAnsi="Times New Roman" w:cs="Times New Roman"/>
          <w:i/>
          <w:iCs/>
          <w:sz w:val="24"/>
        </w:rPr>
        <w:t>Proceedings of the 9th</w:t>
      </w:r>
      <w:r>
        <w:rPr>
          <w:rFonts w:ascii="Times New Roman" w:hAnsi="Times New Roman" w:cs="Times New Roman"/>
          <w:i/>
          <w:iCs/>
          <w:sz w:val="24"/>
        </w:rPr>
        <w:t xml:space="preserve"> </w:t>
      </w:r>
      <w:r w:rsidRPr="00841B8E">
        <w:rPr>
          <w:rFonts w:ascii="Times New Roman" w:hAnsi="Times New Roman" w:cs="Times New Roman"/>
          <w:i/>
          <w:iCs/>
          <w:sz w:val="24"/>
        </w:rPr>
        <w:t>International Conference on Educational Data Mining</w:t>
      </w:r>
      <w:r>
        <w:rPr>
          <w:rFonts w:ascii="Times New Roman" w:hAnsi="Times New Roman" w:cs="Times New Roman"/>
          <w:i/>
          <w:iCs/>
          <w:sz w:val="24"/>
        </w:rPr>
        <w:t xml:space="preserve">, </w:t>
      </w:r>
      <w:r>
        <w:rPr>
          <w:rFonts w:ascii="Times New Roman" w:hAnsi="Times New Roman" w:cs="Times New Roman"/>
          <w:sz w:val="24"/>
        </w:rPr>
        <w:t xml:space="preserve">603–604. Derived from </w:t>
      </w:r>
      <w:hyperlink r:id="rId28" w:history="1">
        <w:r w:rsidRPr="00F10F11">
          <w:rPr>
            <w:rStyle w:val="Hyperlink"/>
            <w:rFonts w:ascii="Times New Roman" w:hAnsi="Times New Roman" w:cs="Times New Roman"/>
            <w:sz w:val="24"/>
          </w:rPr>
          <w:t>https://www.educationaldatamining.org/EDM2016/proceedings/paper_34.pdf</w:t>
        </w:r>
      </w:hyperlink>
    </w:p>
    <w:p w14:paraId="1E9ACFD9" w14:textId="77777777" w:rsidR="00910E8B" w:rsidRDefault="00910E8B" w:rsidP="001B728D">
      <w:pPr>
        <w:spacing w:line="480" w:lineRule="auto"/>
        <w:ind w:left="720" w:hanging="720"/>
        <w:jc w:val="left"/>
        <w:rPr>
          <w:rFonts w:ascii="Times New Roman" w:hAnsi="Times New Roman" w:cs="Times New Roman"/>
          <w:sz w:val="24"/>
        </w:rPr>
      </w:pPr>
      <w:r w:rsidRPr="00522CFB">
        <w:rPr>
          <w:rFonts w:ascii="Times New Roman" w:hAnsi="Times New Roman" w:cs="Times New Roman"/>
          <w:sz w:val="24"/>
        </w:rPr>
        <w:t xml:space="preserve">Long, M. C., Conger, D., &amp; </w:t>
      </w:r>
      <w:proofErr w:type="spellStart"/>
      <w:r w:rsidRPr="00522CFB">
        <w:rPr>
          <w:rFonts w:ascii="Times New Roman" w:hAnsi="Times New Roman" w:cs="Times New Roman"/>
          <w:sz w:val="24"/>
        </w:rPr>
        <w:t>Iatarola</w:t>
      </w:r>
      <w:proofErr w:type="spellEnd"/>
      <w:r w:rsidRPr="00522CFB">
        <w:rPr>
          <w:rFonts w:ascii="Times New Roman" w:hAnsi="Times New Roman" w:cs="Times New Roman"/>
          <w:sz w:val="24"/>
        </w:rPr>
        <w:t xml:space="preserve">, P. (2012). Effects of </w:t>
      </w:r>
      <w:r>
        <w:rPr>
          <w:rFonts w:ascii="Times New Roman" w:hAnsi="Times New Roman" w:cs="Times New Roman"/>
          <w:sz w:val="24"/>
        </w:rPr>
        <w:t>h</w:t>
      </w:r>
      <w:r w:rsidRPr="00522CFB">
        <w:rPr>
          <w:rFonts w:ascii="Times New Roman" w:hAnsi="Times New Roman" w:cs="Times New Roman"/>
          <w:sz w:val="24"/>
        </w:rPr>
        <w:t xml:space="preserve">igh </w:t>
      </w:r>
      <w:r>
        <w:rPr>
          <w:rFonts w:ascii="Times New Roman" w:hAnsi="Times New Roman" w:cs="Times New Roman"/>
          <w:sz w:val="24"/>
        </w:rPr>
        <w:t>s</w:t>
      </w:r>
      <w:r w:rsidRPr="00522CFB">
        <w:rPr>
          <w:rFonts w:ascii="Times New Roman" w:hAnsi="Times New Roman" w:cs="Times New Roman"/>
          <w:sz w:val="24"/>
        </w:rPr>
        <w:t xml:space="preserve">chool </w:t>
      </w:r>
      <w:r>
        <w:rPr>
          <w:rFonts w:ascii="Times New Roman" w:hAnsi="Times New Roman" w:cs="Times New Roman"/>
          <w:sz w:val="24"/>
        </w:rPr>
        <w:t>c</w:t>
      </w:r>
      <w:r w:rsidRPr="00522CFB">
        <w:rPr>
          <w:rFonts w:ascii="Times New Roman" w:hAnsi="Times New Roman" w:cs="Times New Roman"/>
          <w:sz w:val="24"/>
        </w:rPr>
        <w:t>ourse-</w:t>
      </w:r>
      <w:r>
        <w:rPr>
          <w:rFonts w:ascii="Times New Roman" w:hAnsi="Times New Roman" w:cs="Times New Roman"/>
          <w:sz w:val="24"/>
        </w:rPr>
        <w:t>ta</w:t>
      </w:r>
      <w:r w:rsidRPr="00522CFB">
        <w:rPr>
          <w:rFonts w:ascii="Times New Roman" w:hAnsi="Times New Roman" w:cs="Times New Roman"/>
          <w:sz w:val="24"/>
        </w:rPr>
        <w:t xml:space="preserve">king on </w:t>
      </w:r>
      <w:r>
        <w:rPr>
          <w:rFonts w:ascii="Times New Roman" w:hAnsi="Times New Roman" w:cs="Times New Roman"/>
          <w:sz w:val="24"/>
        </w:rPr>
        <w:t>s</w:t>
      </w:r>
      <w:r w:rsidRPr="00522CFB">
        <w:rPr>
          <w:rFonts w:ascii="Times New Roman" w:hAnsi="Times New Roman" w:cs="Times New Roman"/>
          <w:sz w:val="24"/>
        </w:rPr>
        <w:t xml:space="preserve">econdary and </w:t>
      </w:r>
      <w:r>
        <w:rPr>
          <w:rFonts w:ascii="Times New Roman" w:hAnsi="Times New Roman" w:cs="Times New Roman"/>
          <w:sz w:val="24"/>
        </w:rPr>
        <w:t>p</w:t>
      </w:r>
      <w:r w:rsidRPr="00522CFB">
        <w:rPr>
          <w:rFonts w:ascii="Times New Roman" w:hAnsi="Times New Roman" w:cs="Times New Roman"/>
          <w:sz w:val="24"/>
        </w:rPr>
        <w:t xml:space="preserve">ostsecondary </w:t>
      </w:r>
      <w:r>
        <w:rPr>
          <w:rFonts w:ascii="Times New Roman" w:hAnsi="Times New Roman" w:cs="Times New Roman"/>
          <w:sz w:val="24"/>
        </w:rPr>
        <w:t>s</w:t>
      </w:r>
      <w:r w:rsidRPr="00522CFB">
        <w:rPr>
          <w:rFonts w:ascii="Times New Roman" w:hAnsi="Times New Roman" w:cs="Times New Roman"/>
          <w:sz w:val="24"/>
        </w:rPr>
        <w:t>uccess. </w:t>
      </w:r>
      <w:r w:rsidRPr="00522CFB">
        <w:rPr>
          <w:rFonts w:ascii="Times New Roman" w:hAnsi="Times New Roman" w:cs="Times New Roman"/>
          <w:i/>
          <w:iCs/>
          <w:sz w:val="24"/>
        </w:rPr>
        <w:t>American Educational Research Journal</w:t>
      </w:r>
      <w:r w:rsidRPr="00522CFB">
        <w:rPr>
          <w:rFonts w:ascii="Times New Roman" w:hAnsi="Times New Roman" w:cs="Times New Roman"/>
          <w:sz w:val="24"/>
        </w:rPr>
        <w:t>, </w:t>
      </w:r>
      <w:r w:rsidRPr="00522CFB">
        <w:rPr>
          <w:rFonts w:ascii="Times New Roman" w:hAnsi="Times New Roman" w:cs="Times New Roman"/>
          <w:i/>
          <w:iCs/>
          <w:sz w:val="24"/>
        </w:rPr>
        <w:t>49</w:t>
      </w:r>
      <w:r w:rsidRPr="00522CFB">
        <w:rPr>
          <w:rFonts w:ascii="Times New Roman" w:hAnsi="Times New Roman" w:cs="Times New Roman"/>
          <w:sz w:val="24"/>
        </w:rPr>
        <w:t>(2), 285</w:t>
      </w:r>
      <w:r>
        <w:rPr>
          <w:rFonts w:ascii="Times New Roman" w:hAnsi="Times New Roman" w:cs="Times New Roman"/>
          <w:sz w:val="24"/>
        </w:rPr>
        <w:t>–</w:t>
      </w:r>
      <w:r w:rsidRPr="00522CFB">
        <w:rPr>
          <w:rFonts w:ascii="Times New Roman" w:hAnsi="Times New Roman" w:cs="Times New Roman"/>
          <w:sz w:val="24"/>
        </w:rPr>
        <w:t>322.</w:t>
      </w:r>
      <w:r>
        <w:rPr>
          <w:rFonts w:ascii="Times New Roman" w:hAnsi="Times New Roman" w:cs="Times New Roman"/>
          <w:sz w:val="24"/>
        </w:rPr>
        <w:t xml:space="preserve"> </w:t>
      </w:r>
      <w:hyperlink r:id="rId29" w:history="1">
        <w:r w:rsidRPr="00522CFB">
          <w:rPr>
            <w:rStyle w:val="Hyperlink"/>
            <w:rFonts w:ascii="Times New Roman" w:hAnsi="Times New Roman" w:cs="Times New Roman"/>
            <w:sz w:val="24"/>
          </w:rPr>
          <w:t>https://doi.org/10.3102/0002831211431952</w:t>
        </w:r>
      </w:hyperlink>
    </w:p>
    <w:p w14:paraId="34248888" w14:textId="77777777" w:rsidR="00910E8B" w:rsidRDefault="00910E8B" w:rsidP="001B728D">
      <w:pPr>
        <w:spacing w:line="480" w:lineRule="auto"/>
        <w:ind w:left="720" w:hanging="720"/>
        <w:jc w:val="left"/>
      </w:pPr>
      <w:r w:rsidRPr="00CE09A4">
        <w:rPr>
          <w:rFonts w:ascii="Times New Roman" w:hAnsi="Times New Roman" w:cs="Times New Roman"/>
          <w:sz w:val="24"/>
        </w:rPr>
        <w:t>Long</w:t>
      </w:r>
      <w:r>
        <w:rPr>
          <w:rFonts w:ascii="Times New Roman" w:hAnsi="Times New Roman" w:cs="Times New Roman"/>
          <w:sz w:val="24"/>
        </w:rPr>
        <w:t xml:space="preserve">, </w:t>
      </w:r>
      <w:r w:rsidRPr="00CE09A4">
        <w:rPr>
          <w:rFonts w:ascii="Times New Roman" w:hAnsi="Times New Roman" w:cs="Times New Roman"/>
          <w:sz w:val="24"/>
        </w:rPr>
        <w:t xml:space="preserve">M. C., </w:t>
      </w:r>
      <w:proofErr w:type="spellStart"/>
      <w:r w:rsidRPr="00522CFB">
        <w:rPr>
          <w:rFonts w:ascii="Times New Roman" w:hAnsi="Times New Roman" w:cs="Times New Roman"/>
          <w:sz w:val="24"/>
        </w:rPr>
        <w:t>Iatarola</w:t>
      </w:r>
      <w:proofErr w:type="spellEnd"/>
      <w:r w:rsidRPr="00522CFB">
        <w:rPr>
          <w:rFonts w:ascii="Times New Roman" w:hAnsi="Times New Roman" w:cs="Times New Roman"/>
          <w:sz w:val="24"/>
        </w:rPr>
        <w:t xml:space="preserve">, </w:t>
      </w:r>
      <w:r w:rsidRPr="00CE09A4">
        <w:rPr>
          <w:rFonts w:ascii="Times New Roman" w:hAnsi="Times New Roman" w:cs="Times New Roman"/>
          <w:sz w:val="24"/>
        </w:rPr>
        <w:t>P., Conger</w:t>
      </w:r>
      <w:r>
        <w:rPr>
          <w:rFonts w:ascii="Times New Roman" w:hAnsi="Times New Roman" w:cs="Times New Roman"/>
          <w:sz w:val="24"/>
        </w:rPr>
        <w:t>,</w:t>
      </w:r>
      <w:r w:rsidRPr="00CE09A4">
        <w:rPr>
          <w:rFonts w:ascii="Times New Roman" w:hAnsi="Times New Roman" w:cs="Times New Roman"/>
          <w:sz w:val="24"/>
        </w:rPr>
        <w:t xml:space="preserve"> D. (2009). Explaining gaps in readiness for college-level math: The role of high school courses. </w:t>
      </w:r>
      <w:r w:rsidRPr="00CE09A4">
        <w:rPr>
          <w:rFonts w:ascii="Times New Roman" w:hAnsi="Times New Roman" w:cs="Times New Roman"/>
          <w:i/>
          <w:iCs/>
          <w:sz w:val="24"/>
        </w:rPr>
        <w:t>Education Finance and Policy</w:t>
      </w:r>
      <w:r w:rsidRPr="00522CFB">
        <w:rPr>
          <w:rFonts w:ascii="Times New Roman" w:hAnsi="Times New Roman" w:cs="Times New Roman"/>
          <w:i/>
          <w:iCs/>
          <w:sz w:val="24"/>
        </w:rPr>
        <w:t>, 4</w:t>
      </w:r>
      <w:r w:rsidRPr="00CE09A4">
        <w:rPr>
          <w:rFonts w:ascii="Times New Roman" w:hAnsi="Times New Roman" w:cs="Times New Roman"/>
          <w:sz w:val="24"/>
        </w:rPr>
        <w:t>(1), 1–33.</w:t>
      </w:r>
      <w:r w:rsidRPr="00CE09A4">
        <w:t xml:space="preserve"> </w:t>
      </w:r>
      <w:hyperlink r:id="rId30" w:history="1">
        <w:r w:rsidRPr="00F10F11">
          <w:rPr>
            <w:rStyle w:val="Hyperlink"/>
            <w:rFonts w:ascii="Times New Roman" w:hAnsi="Times New Roman" w:cs="Times New Roman"/>
            <w:sz w:val="24"/>
          </w:rPr>
          <w:t>https://doi.org/10.1162/edfp.2009.4.1.1</w:t>
        </w:r>
      </w:hyperlink>
    </w:p>
    <w:p w14:paraId="789694EE" w14:textId="77777777" w:rsidR="00910E8B" w:rsidRDefault="00910E8B" w:rsidP="001B728D">
      <w:pPr>
        <w:spacing w:line="480" w:lineRule="auto"/>
        <w:ind w:left="720" w:hanging="720"/>
        <w:jc w:val="left"/>
        <w:rPr>
          <w:rStyle w:val="Hyperlink"/>
          <w:rFonts w:ascii="Times New Roman" w:hAnsi="Times New Roman" w:cs="Times New Roman"/>
          <w:sz w:val="24"/>
        </w:rPr>
      </w:pPr>
      <w:r w:rsidRPr="0009389E">
        <w:rPr>
          <w:rFonts w:ascii="Times New Roman" w:hAnsi="Times New Roman" w:cs="Times New Roman"/>
          <w:sz w:val="24"/>
        </w:rPr>
        <w:t xml:space="preserve">Mattern, K. D., Marini, J. P., &amp; Shaw, E. J. (2013). </w:t>
      </w:r>
      <w:r w:rsidRPr="00F548C2">
        <w:rPr>
          <w:rFonts w:ascii="Times New Roman" w:hAnsi="Times New Roman" w:cs="Times New Roman"/>
          <w:i/>
          <w:iCs/>
          <w:sz w:val="24"/>
        </w:rPr>
        <w:t>Are AP</w:t>
      </w:r>
      <w:r w:rsidRPr="00F548C2">
        <w:rPr>
          <w:rFonts w:ascii="Times New Roman" w:hAnsi="Times New Roman" w:cs="Times New Roman"/>
          <w:i/>
          <w:iCs/>
          <w:sz w:val="24"/>
          <w:vertAlign w:val="superscript"/>
        </w:rPr>
        <w:t>®</w:t>
      </w:r>
      <w:r w:rsidRPr="00F548C2">
        <w:rPr>
          <w:rFonts w:ascii="Times New Roman" w:hAnsi="Times New Roman" w:cs="Times New Roman"/>
          <w:i/>
          <w:iCs/>
          <w:sz w:val="24"/>
        </w:rPr>
        <w:t xml:space="preserve"> students more likely to graduate from college on Time</w:t>
      </w:r>
      <w:r>
        <w:rPr>
          <w:rFonts w:ascii="Times New Roman" w:hAnsi="Times New Roman" w:cs="Times New Roman"/>
          <w:i/>
          <w:iCs/>
          <w:sz w:val="24"/>
        </w:rPr>
        <w:t xml:space="preserve">. </w:t>
      </w:r>
      <w:r w:rsidRPr="00F548C2">
        <w:rPr>
          <w:rFonts w:ascii="Times New Roman" w:hAnsi="Times New Roman" w:cs="Times New Roman"/>
          <w:sz w:val="24"/>
        </w:rPr>
        <w:t>College Board.</w:t>
      </w:r>
      <w:r>
        <w:rPr>
          <w:rFonts w:ascii="Times New Roman" w:hAnsi="Times New Roman" w:cs="Times New Roman"/>
          <w:i/>
          <w:iCs/>
          <w:sz w:val="24"/>
        </w:rPr>
        <w:t xml:space="preserve"> </w:t>
      </w:r>
      <w:hyperlink r:id="rId31" w:history="1">
        <w:r w:rsidRPr="0009389E">
          <w:rPr>
            <w:rStyle w:val="Hyperlink"/>
            <w:rFonts w:ascii="Times New Roman" w:hAnsi="Times New Roman" w:cs="Times New Roman"/>
            <w:sz w:val="24"/>
          </w:rPr>
          <w:t>http://files.eric.ed.gov/fulltext/ED556464.pdf</w:t>
        </w:r>
      </w:hyperlink>
    </w:p>
    <w:p w14:paraId="43DC7243" w14:textId="77777777" w:rsidR="00910E8B" w:rsidRDefault="00910E8B" w:rsidP="001B728D">
      <w:pPr>
        <w:spacing w:line="480" w:lineRule="auto"/>
        <w:ind w:left="720" w:hanging="720"/>
        <w:jc w:val="left"/>
        <w:rPr>
          <w:rFonts w:ascii="Times New Roman" w:hAnsi="Times New Roman" w:cs="Times New Roman"/>
          <w:sz w:val="24"/>
        </w:rPr>
      </w:pPr>
      <w:r w:rsidRPr="00D47D3E">
        <w:rPr>
          <w:rFonts w:ascii="Times New Roman" w:hAnsi="Times New Roman" w:cs="Times New Roman"/>
          <w:sz w:val="24"/>
        </w:rPr>
        <w:t xml:space="preserve">Morgan </w:t>
      </w:r>
      <w:r>
        <w:rPr>
          <w:rFonts w:ascii="Times New Roman" w:hAnsi="Times New Roman" w:cs="Times New Roman"/>
          <w:sz w:val="24"/>
        </w:rPr>
        <w:t xml:space="preserve">T. L., </w:t>
      </w:r>
      <w:proofErr w:type="spellStart"/>
      <w:r>
        <w:rPr>
          <w:rFonts w:ascii="Times New Roman" w:hAnsi="Times New Roman" w:cs="Times New Roman"/>
          <w:sz w:val="24"/>
        </w:rPr>
        <w:t>Zakhem</w:t>
      </w:r>
      <w:proofErr w:type="spellEnd"/>
      <w:r>
        <w:rPr>
          <w:rFonts w:ascii="Times New Roman" w:hAnsi="Times New Roman" w:cs="Times New Roman"/>
          <w:sz w:val="24"/>
        </w:rPr>
        <w:t>, D., &amp; Cooper W. (2018).</w:t>
      </w:r>
      <w:r w:rsidRPr="00D47D3E">
        <w:t xml:space="preserve"> </w:t>
      </w:r>
      <w:r w:rsidRPr="00D47D3E">
        <w:rPr>
          <w:rFonts w:ascii="Times New Roman" w:hAnsi="Times New Roman" w:cs="Times New Roman"/>
          <w:sz w:val="24"/>
        </w:rPr>
        <w:t xml:space="preserve">From </w:t>
      </w:r>
      <w:r>
        <w:rPr>
          <w:rFonts w:ascii="Times New Roman" w:hAnsi="Times New Roman" w:cs="Times New Roman"/>
          <w:sz w:val="24"/>
        </w:rPr>
        <w:t>h</w:t>
      </w:r>
      <w:r w:rsidRPr="00D47D3E">
        <w:rPr>
          <w:rFonts w:ascii="Times New Roman" w:hAnsi="Times New Roman" w:cs="Times New Roman"/>
          <w:sz w:val="24"/>
        </w:rPr>
        <w:t xml:space="preserve">igh </w:t>
      </w:r>
      <w:r>
        <w:rPr>
          <w:rFonts w:ascii="Times New Roman" w:hAnsi="Times New Roman" w:cs="Times New Roman"/>
          <w:sz w:val="24"/>
        </w:rPr>
        <w:t>s</w:t>
      </w:r>
      <w:r w:rsidRPr="00D47D3E">
        <w:rPr>
          <w:rFonts w:ascii="Times New Roman" w:hAnsi="Times New Roman" w:cs="Times New Roman"/>
          <w:sz w:val="24"/>
        </w:rPr>
        <w:t xml:space="preserve">chool </w:t>
      </w:r>
      <w:r>
        <w:rPr>
          <w:rFonts w:ascii="Times New Roman" w:hAnsi="Times New Roman" w:cs="Times New Roman"/>
          <w:sz w:val="24"/>
        </w:rPr>
        <w:t>a</w:t>
      </w:r>
      <w:r w:rsidRPr="00D47D3E">
        <w:rPr>
          <w:rFonts w:ascii="Times New Roman" w:hAnsi="Times New Roman" w:cs="Times New Roman"/>
          <w:sz w:val="24"/>
        </w:rPr>
        <w:t xml:space="preserve">ccess to </w:t>
      </w:r>
      <w:r>
        <w:rPr>
          <w:rFonts w:ascii="Times New Roman" w:hAnsi="Times New Roman" w:cs="Times New Roman"/>
          <w:sz w:val="24"/>
        </w:rPr>
        <w:t>p</w:t>
      </w:r>
      <w:r w:rsidRPr="00D47D3E">
        <w:rPr>
          <w:rFonts w:ascii="Times New Roman" w:hAnsi="Times New Roman" w:cs="Times New Roman"/>
          <w:sz w:val="24"/>
        </w:rPr>
        <w:t xml:space="preserve">ostsecondary </w:t>
      </w:r>
      <w:r>
        <w:rPr>
          <w:rFonts w:ascii="Times New Roman" w:hAnsi="Times New Roman" w:cs="Times New Roman"/>
          <w:sz w:val="24"/>
        </w:rPr>
        <w:t>s</w:t>
      </w:r>
      <w:r w:rsidRPr="00D47D3E">
        <w:rPr>
          <w:rFonts w:ascii="Times New Roman" w:hAnsi="Times New Roman" w:cs="Times New Roman"/>
          <w:sz w:val="24"/>
        </w:rPr>
        <w:t xml:space="preserve">uccess: An </w:t>
      </w:r>
      <w:r>
        <w:rPr>
          <w:rFonts w:ascii="Times New Roman" w:hAnsi="Times New Roman" w:cs="Times New Roman"/>
          <w:sz w:val="24"/>
        </w:rPr>
        <w:t>e</w:t>
      </w:r>
      <w:r w:rsidRPr="00D47D3E">
        <w:rPr>
          <w:rFonts w:ascii="Times New Roman" w:hAnsi="Times New Roman" w:cs="Times New Roman"/>
          <w:sz w:val="24"/>
        </w:rPr>
        <w:t xml:space="preserve">xploratory </w:t>
      </w:r>
      <w:r>
        <w:rPr>
          <w:rFonts w:ascii="Times New Roman" w:hAnsi="Times New Roman" w:cs="Times New Roman"/>
          <w:sz w:val="24"/>
        </w:rPr>
        <w:t>s</w:t>
      </w:r>
      <w:r w:rsidRPr="00D47D3E">
        <w:rPr>
          <w:rFonts w:ascii="Times New Roman" w:hAnsi="Times New Roman" w:cs="Times New Roman"/>
          <w:sz w:val="24"/>
        </w:rPr>
        <w:t xml:space="preserve">tudy of the </w:t>
      </w:r>
      <w:r>
        <w:rPr>
          <w:rFonts w:ascii="Times New Roman" w:hAnsi="Times New Roman" w:cs="Times New Roman"/>
          <w:sz w:val="24"/>
        </w:rPr>
        <w:t>i</w:t>
      </w:r>
      <w:r w:rsidRPr="00D47D3E">
        <w:rPr>
          <w:rFonts w:ascii="Times New Roman" w:hAnsi="Times New Roman" w:cs="Times New Roman"/>
          <w:sz w:val="24"/>
        </w:rPr>
        <w:t xml:space="preserve">mpact of </w:t>
      </w:r>
      <w:r>
        <w:rPr>
          <w:rFonts w:ascii="Times New Roman" w:hAnsi="Times New Roman" w:cs="Times New Roman"/>
          <w:sz w:val="24"/>
        </w:rPr>
        <w:t>h</w:t>
      </w:r>
      <w:r w:rsidRPr="00D47D3E">
        <w:rPr>
          <w:rFonts w:ascii="Times New Roman" w:hAnsi="Times New Roman" w:cs="Times New Roman"/>
          <w:sz w:val="24"/>
        </w:rPr>
        <w:t>igh-</w:t>
      </w:r>
      <w:r>
        <w:rPr>
          <w:rFonts w:ascii="Times New Roman" w:hAnsi="Times New Roman" w:cs="Times New Roman"/>
          <w:sz w:val="24"/>
        </w:rPr>
        <w:t>r</w:t>
      </w:r>
      <w:r w:rsidRPr="00D47D3E">
        <w:rPr>
          <w:rFonts w:ascii="Times New Roman" w:hAnsi="Times New Roman" w:cs="Times New Roman"/>
          <w:sz w:val="24"/>
        </w:rPr>
        <w:t xml:space="preserve">igor </w:t>
      </w:r>
      <w:r>
        <w:rPr>
          <w:rFonts w:ascii="Times New Roman" w:hAnsi="Times New Roman" w:cs="Times New Roman"/>
          <w:sz w:val="24"/>
        </w:rPr>
        <w:t>c</w:t>
      </w:r>
      <w:r w:rsidRPr="00D47D3E">
        <w:rPr>
          <w:rFonts w:ascii="Times New Roman" w:hAnsi="Times New Roman" w:cs="Times New Roman"/>
          <w:sz w:val="24"/>
        </w:rPr>
        <w:t>oursework</w:t>
      </w:r>
      <w:r>
        <w:rPr>
          <w:rFonts w:ascii="Times New Roman" w:hAnsi="Times New Roman" w:cs="Times New Roman"/>
          <w:sz w:val="24"/>
        </w:rPr>
        <w:t xml:space="preserve">. </w:t>
      </w:r>
      <w:r w:rsidRPr="00D47D3E">
        <w:rPr>
          <w:rFonts w:ascii="Times New Roman" w:hAnsi="Times New Roman" w:cs="Times New Roman"/>
          <w:i/>
          <w:iCs/>
          <w:sz w:val="24"/>
        </w:rPr>
        <w:t>Education Science</w:t>
      </w:r>
      <w:r>
        <w:rPr>
          <w:rFonts w:ascii="Times New Roman" w:hAnsi="Times New Roman" w:cs="Times New Roman"/>
          <w:i/>
          <w:iCs/>
          <w:sz w:val="24"/>
        </w:rPr>
        <w:t>s</w:t>
      </w:r>
      <w:r w:rsidRPr="00D47D3E">
        <w:rPr>
          <w:rFonts w:ascii="Times New Roman" w:hAnsi="Times New Roman" w:cs="Times New Roman"/>
          <w:i/>
          <w:iCs/>
          <w:sz w:val="24"/>
        </w:rPr>
        <w:t>, 8</w:t>
      </w:r>
      <w:r>
        <w:rPr>
          <w:rFonts w:ascii="Times New Roman" w:hAnsi="Times New Roman" w:cs="Times New Roman"/>
          <w:sz w:val="24"/>
        </w:rPr>
        <w:t xml:space="preserve">(4), 191. </w:t>
      </w:r>
      <w:hyperlink r:id="rId32" w:history="1">
        <w:r w:rsidRPr="00561DD0">
          <w:rPr>
            <w:rStyle w:val="Hyperlink"/>
            <w:rFonts w:ascii="Times New Roman" w:hAnsi="Times New Roman" w:cs="Times New Roman"/>
            <w:sz w:val="24"/>
          </w:rPr>
          <w:t>https://doi.org/10.3390/educsci8040191</w:t>
        </w:r>
      </w:hyperlink>
    </w:p>
    <w:p w14:paraId="7B183B4B" w14:textId="77777777" w:rsidR="00910E8B" w:rsidRDefault="00910E8B" w:rsidP="001B728D">
      <w:pPr>
        <w:spacing w:line="480" w:lineRule="auto"/>
        <w:ind w:left="720" w:hanging="720"/>
        <w:jc w:val="left"/>
        <w:rPr>
          <w:rFonts w:ascii="Times New Roman" w:hAnsi="Times New Roman" w:cs="Times New Roman"/>
          <w:sz w:val="24"/>
        </w:rPr>
      </w:pPr>
      <w:r w:rsidRPr="00D47D3E">
        <w:rPr>
          <w:rFonts w:ascii="Times New Roman" w:hAnsi="Times New Roman" w:cs="Times New Roman"/>
          <w:sz w:val="24"/>
        </w:rPr>
        <w:t>National Academies of Sciences, Engineering, and Medicine</w:t>
      </w:r>
      <w:r>
        <w:rPr>
          <w:rFonts w:ascii="Times New Roman" w:hAnsi="Times New Roman" w:cs="Times New Roman"/>
          <w:sz w:val="24"/>
        </w:rPr>
        <w:t xml:space="preserve">. </w:t>
      </w:r>
      <w:r w:rsidRPr="00D47D3E">
        <w:rPr>
          <w:rFonts w:ascii="Times New Roman" w:hAnsi="Times New Roman" w:cs="Times New Roman"/>
          <w:sz w:val="24"/>
        </w:rPr>
        <w:t xml:space="preserve">(2019). </w:t>
      </w:r>
      <w:r w:rsidRPr="00D47D3E">
        <w:rPr>
          <w:rFonts w:ascii="Times New Roman" w:hAnsi="Times New Roman" w:cs="Times New Roman"/>
          <w:i/>
          <w:iCs/>
          <w:sz w:val="24"/>
        </w:rPr>
        <w:t xml:space="preserve">Monitoring </w:t>
      </w:r>
      <w:r>
        <w:rPr>
          <w:rFonts w:ascii="Times New Roman" w:hAnsi="Times New Roman" w:cs="Times New Roman"/>
          <w:i/>
          <w:iCs/>
          <w:sz w:val="24"/>
        </w:rPr>
        <w:t>e</w:t>
      </w:r>
      <w:r w:rsidRPr="00D47D3E">
        <w:rPr>
          <w:rFonts w:ascii="Times New Roman" w:hAnsi="Times New Roman" w:cs="Times New Roman"/>
          <w:i/>
          <w:iCs/>
          <w:sz w:val="24"/>
        </w:rPr>
        <w:t xml:space="preserve">ducational </w:t>
      </w:r>
      <w:r>
        <w:rPr>
          <w:rFonts w:ascii="Times New Roman" w:hAnsi="Times New Roman" w:cs="Times New Roman"/>
          <w:i/>
          <w:iCs/>
          <w:sz w:val="24"/>
        </w:rPr>
        <w:t>e</w:t>
      </w:r>
      <w:r w:rsidRPr="00D47D3E">
        <w:rPr>
          <w:rFonts w:ascii="Times New Roman" w:hAnsi="Times New Roman" w:cs="Times New Roman"/>
          <w:i/>
          <w:iCs/>
          <w:sz w:val="24"/>
        </w:rPr>
        <w:t>quity.</w:t>
      </w:r>
      <w:r w:rsidRPr="00D47D3E">
        <w:rPr>
          <w:rFonts w:ascii="Times New Roman" w:hAnsi="Times New Roman" w:cs="Times New Roman"/>
          <w:sz w:val="24"/>
        </w:rPr>
        <w:t xml:space="preserve"> </w:t>
      </w:r>
      <w:hyperlink r:id="rId33" w:history="1">
        <w:r w:rsidRPr="00D47D3E">
          <w:rPr>
            <w:rStyle w:val="Hyperlink"/>
            <w:rFonts w:ascii="Times New Roman" w:hAnsi="Times New Roman" w:cs="Times New Roman"/>
            <w:sz w:val="24"/>
          </w:rPr>
          <w:t>https://doi.org/10.17226/25389</w:t>
        </w:r>
      </w:hyperlink>
      <w:r w:rsidRPr="00D47D3E">
        <w:rPr>
          <w:rFonts w:ascii="Times New Roman" w:hAnsi="Times New Roman" w:cs="Times New Roman"/>
          <w:sz w:val="24"/>
        </w:rPr>
        <w:t>.</w:t>
      </w:r>
    </w:p>
    <w:p w14:paraId="6BA7ACF8" w14:textId="77777777" w:rsidR="00910E8B" w:rsidRDefault="00910E8B" w:rsidP="001B728D">
      <w:pPr>
        <w:spacing w:line="480" w:lineRule="auto"/>
        <w:ind w:left="720" w:hanging="720"/>
        <w:jc w:val="left"/>
        <w:rPr>
          <w:rFonts w:ascii="Times New Roman" w:hAnsi="Times New Roman" w:cs="Times New Roman"/>
          <w:sz w:val="24"/>
        </w:rPr>
      </w:pPr>
      <w:proofErr w:type="spellStart"/>
      <w:r>
        <w:rPr>
          <w:rFonts w:ascii="Times New Roman" w:hAnsi="Times New Roman" w:cs="Times New Roman"/>
          <w:sz w:val="24"/>
        </w:rPr>
        <w:t>Nitkin</w:t>
      </w:r>
      <w:proofErr w:type="spellEnd"/>
      <w:r>
        <w:rPr>
          <w:rFonts w:ascii="Times New Roman" w:hAnsi="Times New Roman" w:cs="Times New Roman"/>
          <w:sz w:val="24"/>
        </w:rPr>
        <w:t xml:space="preserve">, D., Ready, D. D., &amp; Bowers, A. J. (2022). </w:t>
      </w:r>
      <w:r w:rsidRPr="00EA0A1A">
        <w:rPr>
          <w:rFonts w:ascii="Times New Roman" w:hAnsi="Times New Roman" w:cs="Times New Roman"/>
          <w:sz w:val="24"/>
        </w:rPr>
        <w:t xml:space="preserve">Using technology to personalize middle school </w:t>
      </w:r>
      <w:r w:rsidRPr="00EA0A1A">
        <w:rPr>
          <w:rFonts w:ascii="Times New Roman" w:hAnsi="Times New Roman" w:cs="Times New Roman"/>
          <w:sz w:val="24"/>
        </w:rPr>
        <w:lastRenderedPageBreak/>
        <w:t xml:space="preserve">math instruction: </w:t>
      </w:r>
      <w:r>
        <w:rPr>
          <w:rFonts w:ascii="Times New Roman" w:hAnsi="Times New Roman" w:cs="Times New Roman"/>
          <w:sz w:val="24"/>
        </w:rPr>
        <w:t>E</w:t>
      </w:r>
      <w:r w:rsidRPr="00EA0A1A">
        <w:rPr>
          <w:rFonts w:ascii="Times New Roman" w:hAnsi="Times New Roman" w:cs="Times New Roman"/>
          <w:sz w:val="24"/>
        </w:rPr>
        <w:t>vidence from a blended learning program in five public schools</w:t>
      </w:r>
      <w:r>
        <w:rPr>
          <w:rFonts w:ascii="Times New Roman" w:hAnsi="Times New Roman" w:cs="Times New Roman"/>
          <w:sz w:val="24"/>
        </w:rPr>
        <w:t xml:space="preserve">. </w:t>
      </w:r>
      <w:r w:rsidRPr="00EA0A1A">
        <w:rPr>
          <w:rFonts w:ascii="Times New Roman" w:hAnsi="Times New Roman" w:cs="Times New Roman"/>
          <w:i/>
          <w:iCs/>
          <w:sz w:val="24"/>
        </w:rPr>
        <w:t>Frontiers in Education, 7</w:t>
      </w:r>
      <w:r>
        <w:rPr>
          <w:rFonts w:ascii="Times New Roman" w:hAnsi="Times New Roman" w:cs="Times New Roman"/>
          <w:sz w:val="24"/>
        </w:rPr>
        <w:t xml:space="preserve">, Article 646471. </w:t>
      </w:r>
      <w:hyperlink r:id="rId34" w:history="1">
        <w:r w:rsidRPr="00F10F11">
          <w:rPr>
            <w:rStyle w:val="Hyperlink"/>
            <w:rFonts w:ascii="Times New Roman" w:hAnsi="Times New Roman" w:cs="Times New Roman"/>
            <w:sz w:val="24"/>
          </w:rPr>
          <w:t>https://doi.org/10.3389/feduc.2022.646471</w:t>
        </w:r>
      </w:hyperlink>
    </w:p>
    <w:p w14:paraId="1AA3A88C" w14:textId="77777777" w:rsidR="00910E8B" w:rsidRDefault="00910E8B" w:rsidP="001B728D">
      <w:pPr>
        <w:spacing w:line="480" w:lineRule="auto"/>
        <w:ind w:left="720" w:hanging="720"/>
        <w:jc w:val="left"/>
        <w:rPr>
          <w:rFonts w:ascii="Times New Roman" w:hAnsi="Times New Roman" w:cs="Times New Roman"/>
          <w:sz w:val="24"/>
        </w:rPr>
      </w:pPr>
      <w:r>
        <w:rPr>
          <w:rFonts w:ascii="Times New Roman" w:hAnsi="Times New Roman" w:cs="Times New Roman"/>
          <w:sz w:val="24"/>
        </w:rPr>
        <w:t xml:space="preserve">North Carolina Department of Public Instruction (n.d.). </w:t>
      </w:r>
      <w:r w:rsidRPr="004322FC">
        <w:rPr>
          <w:rFonts w:ascii="Times New Roman" w:hAnsi="Times New Roman" w:cs="Times New Roman"/>
          <w:i/>
          <w:iCs/>
          <w:sz w:val="24"/>
        </w:rPr>
        <w:t>Data &amp; Reports.</w:t>
      </w:r>
      <w:r>
        <w:rPr>
          <w:rFonts w:ascii="Times New Roman" w:hAnsi="Times New Roman" w:cs="Times New Roman"/>
          <w:sz w:val="24"/>
        </w:rPr>
        <w:t xml:space="preserve"> Retrieved October 28, 2024, from </w:t>
      </w:r>
      <w:hyperlink r:id="rId35" w:history="1">
        <w:r w:rsidRPr="00F10F11">
          <w:rPr>
            <w:rStyle w:val="Hyperlink"/>
            <w:rFonts w:ascii="Times New Roman" w:hAnsi="Times New Roman" w:cs="Times New Roman"/>
            <w:sz w:val="24"/>
          </w:rPr>
          <w:t>https://www.dpi.nc.gov/data-reports</w:t>
        </w:r>
      </w:hyperlink>
    </w:p>
    <w:p w14:paraId="1385BF7B" w14:textId="77777777" w:rsidR="00910E8B" w:rsidRDefault="00910E8B" w:rsidP="001B728D">
      <w:pPr>
        <w:spacing w:line="480" w:lineRule="auto"/>
        <w:ind w:left="720" w:hanging="720"/>
        <w:jc w:val="left"/>
        <w:rPr>
          <w:rFonts w:ascii="Times New Roman" w:hAnsi="Times New Roman" w:cs="Times New Roman"/>
          <w:color w:val="000000" w:themeColor="text1"/>
          <w:sz w:val="24"/>
        </w:rPr>
      </w:pPr>
      <w:proofErr w:type="spellStart"/>
      <w:r>
        <w:rPr>
          <w:rStyle w:val="Hyperlink"/>
          <w:rFonts w:ascii="Times New Roman" w:hAnsi="Times New Roman" w:cs="Times New Roman"/>
          <w:color w:val="000000" w:themeColor="text1"/>
          <w:sz w:val="24"/>
          <w:u w:val="none"/>
        </w:rPr>
        <w:t>Ogut</w:t>
      </w:r>
      <w:proofErr w:type="spellEnd"/>
      <w:r>
        <w:rPr>
          <w:rStyle w:val="Hyperlink"/>
          <w:rFonts w:ascii="Times New Roman" w:hAnsi="Times New Roman" w:cs="Times New Roman"/>
          <w:color w:val="000000" w:themeColor="text1"/>
          <w:sz w:val="24"/>
          <w:u w:val="none"/>
        </w:rPr>
        <w:t xml:space="preserve">, B., </w:t>
      </w:r>
      <w:proofErr w:type="spellStart"/>
      <w:r>
        <w:rPr>
          <w:rStyle w:val="Hyperlink"/>
          <w:rFonts w:ascii="Times New Roman" w:hAnsi="Times New Roman" w:cs="Times New Roman"/>
          <w:color w:val="000000" w:themeColor="text1"/>
          <w:sz w:val="24"/>
          <w:u w:val="none"/>
        </w:rPr>
        <w:t>Circi</w:t>
      </w:r>
      <w:proofErr w:type="spellEnd"/>
      <w:r>
        <w:rPr>
          <w:rStyle w:val="Hyperlink"/>
          <w:rFonts w:ascii="Times New Roman" w:hAnsi="Times New Roman" w:cs="Times New Roman"/>
          <w:color w:val="000000" w:themeColor="text1"/>
          <w:sz w:val="24"/>
          <w:u w:val="none"/>
        </w:rPr>
        <w:t xml:space="preserve">, R., &amp; Yee, D. (2021). </w:t>
      </w:r>
      <w:r w:rsidRPr="00F548C2">
        <w:rPr>
          <w:rStyle w:val="Hyperlink"/>
          <w:rFonts w:ascii="Times New Roman" w:hAnsi="Times New Roman" w:cs="Times New Roman"/>
          <w:i/>
          <w:iCs/>
          <w:color w:val="000000" w:themeColor="text1"/>
          <w:sz w:val="24"/>
          <w:u w:val="none"/>
        </w:rPr>
        <w:t>Why does high school coursework matter? The case for increasing exposure to advanced courses.</w:t>
      </w:r>
      <w:r>
        <w:rPr>
          <w:rStyle w:val="Hyperlink"/>
          <w:rFonts w:ascii="Times New Roman" w:hAnsi="Times New Roman" w:cs="Times New Roman"/>
          <w:color w:val="000000" w:themeColor="text1"/>
          <w:sz w:val="24"/>
          <w:u w:val="none"/>
        </w:rPr>
        <w:t xml:space="preserve"> </w:t>
      </w:r>
      <w:r w:rsidRPr="00F548C2">
        <w:rPr>
          <w:rFonts w:ascii="Times New Roman" w:hAnsi="Times New Roman" w:cs="Times New Roman"/>
          <w:color w:val="000000" w:themeColor="text1"/>
          <w:sz w:val="24"/>
        </w:rPr>
        <w:t>American Institutes for Research</w:t>
      </w:r>
      <w:r>
        <w:rPr>
          <w:rFonts w:ascii="Times New Roman" w:hAnsi="Times New Roman" w:cs="Times New Roman"/>
          <w:color w:val="000000" w:themeColor="text1"/>
          <w:sz w:val="24"/>
        </w:rPr>
        <w:t xml:space="preserve">. </w:t>
      </w:r>
      <w:hyperlink r:id="rId36" w:history="1">
        <w:r w:rsidRPr="00F10F11">
          <w:rPr>
            <w:rStyle w:val="Hyperlink"/>
            <w:rFonts w:ascii="Times New Roman" w:hAnsi="Times New Roman" w:cs="Times New Roman"/>
            <w:sz w:val="24"/>
          </w:rPr>
          <w:t>https://www.air.org/sites/default/files/2022-06/22-18169-Advanced-Coursetaking-Brief-061422.pdf</w:t>
        </w:r>
      </w:hyperlink>
    </w:p>
    <w:p w14:paraId="0D0F8324" w14:textId="77777777" w:rsidR="00910E8B" w:rsidRDefault="00910E8B" w:rsidP="001B728D">
      <w:pPr>
        <w:spacing w:line="480" w:lineRule="auto"/>
        <w:ind w:left="720" w:hanging="720"/>
        <w:jc w:val="left"/>
        <w:rPr>
          <w:rFonts w:ascii="Times New Roman" w:hAnsi="Times New Roman" w:cs="Times New Roman"/>
          <w:color w:val="000000" w:themeColor="text1"/>
          <w:sz w:val="24"/>
        </w:rPr>
      </w:pPr>
      <w:r w:rsidRPr="00F548C2">
        <w:rPr>
          <w:rFonts w:ascii="Times New Roman" w:hAnsi="Times New Roman" w:cs="Times New Roman"/>
          <w:color w:val="000000" w:themeColor="text1"/>
          <w:sz w:val="24"/>
        </w:rPr>
        <w:t>Patrick</w:t>
      </w:r>
      <w:r>
        <w:rPr>
          <w:rFonts w:ascii="Times New Roman" w:hAnsi="Times New Roman" w:cs="Times New Roman"/>
          <w:color w:val="000000" w:themeColor="text1"/>
          <w:sz w:val="24"/>
        </w:rPr>
        <w:t xml:space="preserve">, K., </w:t>
      </w:r>
      <w:proofErr w:type="spellStart"/>
      <w:r w:rsidRPr="00F548C2">
        <w:rPr>
          <w:rFonts w:ascii="Times New Roman" w:hAnsi="Times New Roman" w:cs="Times New Roman"/>
          <w:color w:val="000000" w:themeColor="text1"/>
          <w:sz w:val="24"/>
        </w:rPr>
        <w:t>Socol</w:t>
      </w:r>
      <w:proofErr w:type="spellEnd"/>
      <w:r>
        <w:rPr>
          <w:rFonts w:ascii="Times New Roman" w:hAnsi="Times New Roman" w:cs="Times New Roman"/>
          <w:color w:val="000000" w:themeColor="text1"/>
          <w:sz w:val="24"/>
        </w:rPr>
        <w:t xml:space="preserve">, A., &amp; </w:t>
      </w:r>
      <w:r w:rsidRPr="00F548C2">
        <w:rPr>
          <w:rFonts w:ascii="Times New Roman" w:hAnsi="Times New Roman" w:cs="Times New Roman"/>
          <w:color w:val="000000" w:themeColor="text1"/>
          <w:sz w:val="24"/>
        </w:rPr>
        <w:t>Morgan</w:t>
      </w:r>
      <w:r>
        <w:rPr>
          <w:rFonts w:ascii="Times New Roman" w:hAnsi="Times New Roman" w:cs="Times New Roman"/>
          <w:color w:val="000000" w:themeColor="text1"/>
          <w:sz w:val="24"/>
        </w:rPr>
        <w:t xml:space="preserve">, I. (2020). </w:t>
      </w:r>
      <w:r w:rsidRPr="00F548C2">
        <w:rPr>
          <w:rFonts w:ascii="Times New Roman" w:hAnsi="Times New Roman" w:cs="Times New Roman"/>
          <w:i/>
          <w:iCs/>
          <w:color w:val="000000" w:themeColor="text1"/>
          <w:sz w:val="24"/>
        </w:rPr>
        <w:t>Inequities in advanced coursework: What’s driving them and what leaders can do.</w:t>
      </w:r>
      <w:r>
        <w:rPr>
          <w:rFonts w:ascii="Times New Roman" w:hAnsi="Times New Roman" w:cs="Times New Roman"/>
          <w:color w:val="000000" w:themeColor="text1"/>
          <w:sz w:val="24"/>
        </w:rPr>
        <w:t xml:space="preserve"> The Education Trust. </w:t>
      </w:r>
      <w:hyperlink r:id="rId37" w:history="1">
        <w:r w:rsidRPr="00F10F11">
          <w:rPr>
            <w:rStyle w:val="Hyperlink"/>
            <w:rFonts w:ascii="Times New Roman" w:hAnsi="Times New Roman" w:cs="Times New Roman"/>
            <w:sz w:val="24"/>
          </w:rPr>
          <w:t>https://files.eric.ed.gov/fulltext/ED603195.pdf</w:t>
        </w:r>
      </w:hyperlink>
    </w:p>
    <w:p w14:paraId="2726AB0F" w14:textId="77777777" w:rsidR="00910E8B" w:rsidRDefault="00910E8B" w:rsidP="001B728D">
      <w:pPr>
        <w:spacing w:line="480" w:lineRule="auto"/>
        <w:ind w:left="720" w:hanging="720"/>
        <w:jc w:val="left"/>
        <w:rPr>
          <w:rFonts w:ascii="Times New Roman" w:hAnsi="Times New Roman" w:cs="Times New Roman"/>
          <w:sz w:val="24"/>
        </w:rPr>
      </w:pPr>
      <w:proofErr w:type="spellStart"/>
      <w:r w:rsidRPr="00661E2E">
        <w:rPr>
          <w:rFonts w:ascii="Times New Roman" w:hAnsi="Times New Roman" w:cs="Times New Roman"/>
          <w:sz w:val="24"/>
        </w:rPr>
        <w:t>Romesburg</w:t>
      </w:r>
      <w:proofErr w:type="spellEnd"/>
      <w:r w:rsidRPr="00661E2E">
        <w:rPr>
          <w:rFonts w:ascii="Times New Roman" w:hAnsi="Times New Roman" w:cs="Times New Roman"/>
          <w:sz w:val="24"/>
        </w:rPr>
        <w:t>., H. C. (1984).</w:t>
      </w:r>
      <w:r>
        <w:rPr>
          <w:rFonts w:ascii="Times New Roman" w:hAnsi="Times New Roman" w:cs="Times New Roman"/>
          <w:i/>
          <w:iCs/>
          <w:sz w:val="24"/>
        </w:rPr>
        <w:t xml:space="preserve"> </w:t>
      </w:r>
      <w:r w:rsidRPr="00A17696">
        <w:rPr>
          <w:rFonts w:ascii="Times New Roman" w:hAnsi="Times New Roman" w:cs="Times New Roman"/>
          <w:i/>
          <w:iCs/>
          <w:sz w:val="24"/>
        </w:rPr>
        <w:t xml:space="preserve">Cluster analysis for researchers. </w:t>
      </w:r>
      <w:r w:rsidRPr="00A17696">
        <w:rPr>
          <w:rFonts w:ascii="Times New Roman" w:hAnsi="Times New Roman" w:cs="Times New Roman"/>
          <w:sz w:val="24"/>
        </w:rPr>
        <w:t>Lifetime Learning Publications</w:t>
      </w:r>
      <w:r>
        <w:rPr>
          <w:rFonts w:ascii="Times New Roman" w:hAnsi="Times New Roman" w:cs="Times New Roman"/>
          <w:sz w:val="24"/>
        </w:rPr>
        <w:t xml:space="preserve">. </w:t>
      </w:r>
    </w:p>
    <w:p w14:paraId="117D3405" w14:textId="77777777" w:rsidR="00910E8B" w:rsidRPr="00DD1E04" w:rsidRDefault="00910E8B" w:rsidP="001B728D">
      <w:pPr>
        <w:spacing w:line="480" w:lineRule="auto"/>
        <w:ind w:left="720" w:hanging="720"/>
        <w:jc w:val="left"/>
        <w:rPr>
          <w:rFonts w:ascii="Times New Roman" w:hAnsi="Times New Roman" w:cs="Times New Roman"/>
          <w:color w:val="0563C1" w:themeColor="hyperlink"/>
          <w:sz w:val="24"/>
          <w:u w:val="single"/>
        </w:rPr>
      </w:pPr>
      <w:r w:rsidRPr="00DD1E04">
        <w:rPr>
          <w:rFonts w:ascii="Times New Roman" w:hAnsi="Times New Roman" w:cs="Times New Roman"/>
          <w:sz w:val="24"/>
        </w:rPr>
        <w:t>Schneider, B., Swanson, C. B., &amp; Riegle-Crumb, C. (1997). Opportunities for learning: Course sequences and positional advantages. </w:t>
      </w:r>
      <w:r w:rsidRPr="00DD1E04">
        <w:rPr>
          <w:rFonts w:ascii="Times New Roman" w:hAnsi="Times New Roman" w:cs="Times New Roman"/>
          <w:i/>
          <w:iCs/>
          <w:sz w:val="24"/>
        </w:rPr>
        <w:t>Social Psychology of Education: An International Journal, 2</w:t>
      </w:r>
      <w:r w:rsidRPr="00DD1E04">
        <w:rPr>
          <w:rFonts w:ascii="Times New Roman" w:hAnsi="Times New Roman" w:cs="Times New Roman"/>
          <w:sz w:val="24"/>
        </w:rPr>
        <w:t>(1), 25</w:t>
      </w:r>
      <w:r>
        <w:rPr>
          <w:rFonts w:ascii="Times New Roman" w:hAnsi="Times New Roman" w:cs="Times New Roman"/>
          <w:sz w:val="24"/>
        </w:rPr>
        <w:t>–</w:t>
      </w:r>
      <w:r w:rsidRPr="00DD1E04">
        <w:rPr>
          <w:rFonts w:ascii="Times New Roman" w:hAnsi="Times New Roman" w:cs="Times New Roman"/>
          <w:sz w:val="24"/>
        </w:rPr>
        <w:t>53. </w:t>
      </w:r>
      <w:hyperlink r:id="rId38" w:tgtFrame="_blank" w:history="1">
        <w:r w:rsidRPr="00DD1E04">
          <w:rPr>
            <w:rStyle w:val="Hyperlink"/>
            <w:rFonts w:ascii="Times New Roman" w:hAnsi="Times New Roman" w:cs="Times New Roman"/>
            <w:sz w:val="24"/>
          </w:rPr>
          <w:t>https://doi.org/10.1023/A:1009601517753</w:t>
        </w:r>
      </w:hyperlink>
    </w:p>
    <w:p w14:paraId="0B4167EE" w14:textId="77777777" w:rsidR="00910E8B" w:rsidRPr="008F4178" w:rsidRDefault="00910E8B" w:rsidP="001B728D">
      <w:pPr>
        <w:spacing w:line="480" w:lineRule="auto"/>
        <w:ind w:left="720" w:hanging="720"/>
        <w:jc w:val="left"/>
        <w:rPr>
          <w:rFonts w:ascii="Times New Roman" w:hAnsi="Times New Roman" w:cs="Times New Roman"/>
          <w:sz w:val="24"/>
        </w:rPr>
      </w:pPr>
      <w:proofErr w:type="spellStart"/>
      <w:r>
        <w:rPr>
          <w:rFonts w:ascii="Times New Roman" w:hAnsi="Times New Roman" w:cs="Times New Roman"/>
          <w:sz w:val="24"/>
        </w:rPr>
        <w:t>Schwabish</w:t>
      </w:r>
      <w:proofErr w:type="spellEnd"/>
      <w:r>
        <w:rPr>
          <w:rFonts w:ascii="Times New Roman" w:hAnsi="Times New Roman" w:cs="Times New Roman"/>
          <w:sz w:val="24"/>
        </w:rPr>
        <w:t xml:space="preserve">, J. (2021). </w:t>
      </w:r>
      <w:r>
        <w:rPr>
          <w:rFonts w:ascii="Times New Roman" w:hAnsi="Times New Roman" w:cs="Times New Roman"/>
          <w:i/>
          <w:iCs/>
          <w:sz w:val="24"/>
        </w:rPr>
        <w:t xml:space="preserve">Better data visualizations: A guide for scholars, researchers, and wonks. </w:t>
      </w:r>
      <w:r w:rsidRPr="008F4178">
        <w:rPr>
          <w:rFonts w:ascii="Times New Roman" w:hAnsi="Times New Roman" w:cs="Times New Roman"/>
          <w:sz w:val="24"/>
        </w:rPr>
        <w:t>Columbia University Press</w:t>
      </w:r>
      <w:r>
        <w:rPr>
          <w:rFonts w:ascii="Times New Roman" w:hAnsi="Times New Roman" w:cs="Times New Roman"/>
          <w:sz w:val="24"/>
        </w:rPr>
        <w:t>.</w:t>
      </w:r>
    </w:p>
    <w:p w14:paraId="673CCD35" w14:textId="77777777" w:rsidR="00910E8B" w:rsidRDefault="00910E8B" w:rsidP="001B728D">
      <w:pPr>
        <w:spacing w:line="480" w:lineRule="auto"/>
        <w:ind w:left="720" w:hanging="720"/>
        <w:jc w:val="left"/>
        <w:rPr>
          <w:rStyle w:val="Hyperlink"/>
          <w:rFonts w:ascii="Times New Roman" w:hAnsi="Times New Roman" w:cs="Times New Roman"/>
          <w:sz w:val="24"/>
        </w:rPr>
      </w:pPr>
      <w:r>
        <w:rPr>
          <w:rFonts w:ascii="Times New Roman" w:hAnsi="Times New Roman" w:cs="Times New Roman"/>
          <w:sz w:val="24"/>
        </w:rPr>
        <w:t xml:space="preserve">Solorzano, D. G., &amp; Ornelas, A. (2004). </w:t>
      </w:r>
      <w:r w:rsidRPr="00DD1E04">
        <w:rPr>
          <w:rFonts w:ascii="Times New Roman" w:hAnsi="Times New Roman" w:cs="Times New Roman"/>
          <w:sz w:val="24"/>
        </w:rPr>
        <w:t xml:space="preserve">A </w:t>
      </w:r>
      <w:r>
        <w:rPr>
          <w:rFonts w:ascii="Times New Roman" w:hAnsi="Times New Roman" w:cs="Times New Roman"/>
          <w:sz w:val="24"/>
        </w:rPr>
        <w:t>c</w:t>
      </w:r>
      <w:r w:rsidRPr="00DD1E04">
        <w:rPr>
          <w:rFonts w:ascii="Times New Roman" w:hAnsi="Times New Roman" w:cs="Times New Roman"/>
          <w:sz w:val="24"/>
        </w:rPr>
        <w:t>ritical</w:t>
      </w:r>
      <w:r>
        <w:rPr>
          <w:rFonts w:ascii="Times New Roman" w:hAnsi="Times New Roman" w:cs="Times New Roman"/>
          <w:sz w:val="24"/>
        </w:rPr>
        <w:t xml:space="preserve"> r</w:t>
      </w:r>
      <w:r w:rsidRPr="00DD1E04">
        <w:rPr>
          <w:rFonts w:ascii="Times New Roman" w:hAnsi="Times New Roman" w:cs="Times New Roman"/>
          <w:sz w:val="24"/>
        </w:rPr>
        <w:t xml:space="preserve">ace </w:t>
      </w:r>
      <w:r>
        <w:rPr>
          <w:rFonts w:ascii="Times New Roman" w:hAnsi="Times New Roman" w:cs="Times New Roman"/>
          <w:sz w:val="24"/>
        </w:rPr>
        <w:t>a</w:t>
      </w:r>
      <w:r w:rsidRPr="00DD1E04">
        <w:rPr>
          <w:rFonts w:ascii="Times New Roman" w:hAnsi="Times New Roman" w:cs="Times New Roman"/>
          <w:sz w:val="24"/>
        </w:rPr>
        <w:t xml:space="preserve">nalysis of Latina/o and African American Advanced Placement </w:t>
      </w:r>
      <w:r>
        <w:rPr>
          <w:rFonts w:ascii="Times New Roman" w:hAnsi="Times New Roman" w:cs="Times New Roman"/>
          <w:sz w:val="24"/>
        </w:rPr>
        <w:t>e</w:t>
      </w:r>
      <w:r w:rsidRPr="00DD1E04">
        <w:rPr>
          <w:rFonts w:ascii="Times New Roman" w:hAnsi="Times New Roman" w:cs="Times New Roman"/>
          <w:sz w:val="24"/>
        </w:rPr>
        <w:t xml:space="preserve">nrollment in </w:t>
      </w:r>
      <w:r>
        <w:rPr>
          <w:rFonts w:ascii="Times New Roman" w:hAnsi="Times New Roman" w:cs="Times New Roman"/>
          <w:sz w:val="24"/>
        </w:rPr>
        <w:t>p</w:t>
      </w:r>
      <w:r w:rsidRPr="00DD1E04">
        <w:rPr>
          <w:rFonts w:ascii="Times New Roman" w:hAnsi="Times New Roman" w:cs="Times New Roman"/>
          <w:sz w:val="24"/>
        </w:rPr>
        <w:t xml:space="preserve">ublic </w:t>
      </w:r>
      <w:r>
        <w:rPr>
          <w:rFonts w:ascii="Times New Roman" w:hAnsi="Times New Roman" w:cs="Times New Roman"/>
          <w:sz w:val="24"/>
        </w:rPr>
        <w:t>h</w:t>
      </w:r>
      <w:r w:rsidRPr="00DD1E04">
        <w:rPr>
          <w:rFonts w:ascii="Times New Roman" w:hAnsi="Times New Roman" w:cs="Times New Roman"/>
          <w:sz w:val="24"/>
        </w:rPr>
        <w:t xml:space="preserve">igh </w:t>
      </w:r>
      <w:r>
        <w:rPr>
          <w:rFonts w:ascii="Times New Roman" w:hAnsi="Times New Roman" w:cs="Times New Roman"/>
          <w:sz w:val="24"/>
        </w:rPr>
        <w:t>s</w:t>
      </w:r>
      <w:r w:rsidRPr="00DD1E04">
        <w:rPr>
          <w:rFonts w:ascii="Times New Roman" w:hAnsi="Times New Roman" w:cs="Times New Roman"/>
          <w:sz w:val="24"/>
        </w:rPr>
        <w:t>chools</w:t>
      </w:r>
      <w:r>
        <w:rPr>
          <w:rFonts w:ascii="Times New Roman" w:hAnsi="Times New Roman" w:cs="Times New Roman"/>
          <w:sz w:val="24"/>
        </w:rPr>
        <w:t xml:space="preserve">. </w:t>
      </w:r>
      <w:r w:rsidRPr="003330B0">
        <w:rPr>
          <w:rFonts w:ascii="Times New Roman" w:hAnsi="Times New Roman" w:cs="Times New Roman"/>
          <w:sz w:val="24"/>
        </w:rPr>
        <w:t>The High School Journal</w:t>
      </w:r>
      <w:r>
        <w:rPr>
          <w:rFonts w:ascii="Times New Roman" w:hAnsi="Times New Roman" w:cs="Times New Roman"/>
          <w:sz w:val="24"/>
        </w:rPr>
        <w:t xml:space="preserve">, 84(3), 15–26. </w:t>
      </w:r>
      <w:hyperlink r:id="rId39" w:history="1">
        <w:r w:rsidRPr="00F10F11">
          <w:rPr>
            <w:rStyle w:val="Hyperlink"/>
            <w:rFonts w:ascii="Times New Roman" w:hAnsi="Times New Roman" w:cs="Times New Roman"/>
            <w:sz w:val="24"/>
          </w:rPr>
          <w:t>https://www.jstor.org/stable/40364293</w:t>
        </w:r>
      </w:hyperlink>
    </w:p>
    <w:p w14:paraId="2299497D" w14:textId="77777777" w:rsidR="00910E8B" w:rsidRDefault="00910E8B" w:rsidP="001B728D">
      <w:pPr>
        <w:spacing w:line="480" w:lineRule="auto"/>
        <w:ind w:left="720" w:hanging="720"/>
        <w:jc w:val="left"/>
        <w:rPr>
          <w:rFonts w:ascii="Times New Roman" w:hAnsi="Times New Roman" w:cs="Times New Roman"/>
          <w:sz w:val="24"/>
        </w:rPr>
      </w:pPr>
      <w:proofErr w:type="spellStart"/>
      <w:r w:rsidRPr="00DD1E04">
        <w:rPr>
          <w:rFonts w:ascii="Times New Roman" w:hAnsi="Times New Roman" w:cs="Times New Roman"/>
          <w:sz w:val="24"/>
        </w:rPr>
        <w:t>Theokas</w:t>
      </w:r>
      <w:proofErr w:type="spellEnd"/>
      <w:r>
        <w:rPr>
          <w:rFonts w:ascii="Times New Roman" w:hAnsi="Times New Roman" w:cs="Times New Roman"/>
          <w:sz w:val="24"/>
        </w:rPr>
        <w:t xml:space="preserve">, C., &amp; </w:t>
      </w:r>
      <w:proofErr w:type="spellStart"/>
      <w:r>
        <w:rPr>
          <w:rFonts w:ascii="Times New Roman" w:hAnsi="Times New Roman" w:cs="Times New Roman"/>
          <w:sz w:val="24"/>
        </w:rPr>
        <w:t>Saaris</w:t>
      </w:r>
      <w:proofErr w:type="spellEnd"/>
      <w:r>
        <w:rPr>
          <w:rFonts w:ascii="Times New Roman" w:hAnsi="Times New Roman" w:cs="Times New Roman"/>
          <w:sz w:val="24"/>
        </w:rPr>
        <w:t xml:space="preserve">, R. (2013). </w:t>
      </w:r>
      <w:r w:rsidRPr="00DD1E04">
        <w:rPr>
          <w:rFonts w:ascii="Times New Roman" w:hAnsi="Times New Roman" w:cs="Times New Roman"/>
          <w:sz w:val="24"/>
        </w:rPr>
        <w:t xml:space="preserve">Finding America’s </w:t>
      </w:r>
      <w:r>
        <w:rPr>
          <w:rFonts w:ascii="Times New Roman" w:hAnsi="Times New Roman" w:cs="Times New Roman"/>
          <w:sz w:val="24"/>
        </w:rPr>
        <w:t>m</w:t>
      </w:r>
      <w:r w:rsidRPr="00DD1E04">
        <w:rPr>
          <w:rFonts w:ascii="Times New Roman" w:hAnsi="Times New Roman" w:cs="Times New Roman"/>
          <w:sz w:val="24"/>
        </w:rPr>
        <w:t xml:space="preserve">issing AP and IB </w:t>
      </w:r>
      <w:r>
        <w:rPr>
          <w:rFonts w:ascii="Times New Roman" w:hAnsi="Times New Roman" w:cs="Times New Roman"/>
          <w:sz w:val="24"/>
        </w:rPr>
        <w:t>s</w:t>
      </w:r>
      <w:r w:rsidRPr="00DD1E04">
        <w:rPr>
          <w:rFonts w:ascii="Times New Roman" w:hAnsi="Times New Roman" w:cs="Times New Roman"/>
          <w:sz w:val="24"/>
        </w:rPr>
        <w:t>tudents</w:t>
      </w:r>
      <w:r>
        <w:rPr>
          <w:rFonts w:ascii="Times New Roman" w:hAnsi="Times New Roman" w:cs="Times New Roman"/>
          <w:sz w:val="24"/>
        </w:rPr>
        <w:t xml:space="preserve">. The Education Trust. </w:t>
      </w:r>
      <w:hyperlink r:id="rId40" w:history="1">
        <w:r w:rsidRPr="00F10F11">
          <w:rPr>
            <w:rStyle w:val="Hyperlink"/>
            <w:rFonts w:ascii="Times New Roman" w:hAnsi="Times New Roman" w:cs="Times New Roman"/>
            <w:sz w:val="24"/>
          </w:rPr>
          <w:t>https://files.eric.ed.gov/fulltext/ED578802.pdf</w:t>
        </w:r>
      </w:hyperlink>
    </w:p>
    <w:p w14:paraId="6DA51514" w14:textId="77777777" w:rsidR="00910E8B" w:rsidRDefault="00910E8B" w:rsidP="001B728D">
      <w:pPr>
        <w:spacing w:line="480" w:lineRule="auto"/>
        <w:ind w:left="720" w:hanging="720"/>
        <w:jc w:val="left"/>
        <w:rPr>
          <w:rFonts w:ascii="Times New Roman" w:hAnsi="Times New Roman" w:cs="Times New Roman"/>
          <w:sz w:val="24"/>
        </w:rPr>
      </w:pPr>
      <w:r>
        <w:rPr>
          <w:rFonts w:ascii="Times New Roman" w:hAnsi="Times New Roman" w:cs="Times New Roman"/>
          <w:sz w:val="24"/>
        </w:rPr>
        <w:t xml:space="preserve">U.S. Department of Education. (n.d.). </w:t>
      </w:r>
      <w:r w:rsidRPr="003330B0">
        <w:rPr>
          <w:rFonts w:ascii="Times New Roman" w:hAnsi="Times New Roman" w:cs="Times New Roman"/>
          <w:i/>
          <w:iCs/>
          <w:sz w:val="24"/>
        </w:rPr>
        <w:t xml:space="preserve">Recent data files. </w:t>
      </w:r>
      <w:r w:rsidRPr="003330B0">
        <w:rPr>
          <w:rFonts w:ascii="Times New Roman" w:hAnsi="Times New Roman" w:cs="Times New Roman"/>
          <w:sz w:val="24"/>
        </w:rPr>
        <w:t>Civil Rights Data Collectio</w:t>
      </w:r>
      <w:r>
        <w:rPr>
          <w:rFonts w:ascii="Times New Roman" w:hAnsi="Times New Roman" w:cs="Times New Roman"/>
          <w:sz w:val="24"/>
        </w:rPr>
        <w:t xml:space="preserve">n. Retrieved </w:t>
      </w:r>
      <w:r>
        <w:rPr>
          <w:rFonts w:ascii="Times New Roman" w:hAnsi="Times New Roman" w:cs="Times New Roman"/>
          <w:sz w:val="24"/>
        </w:rPr>
        <w:lastRenderedPageBreak/>
        <w:t xml:space="preserve">October 28, 2024, from </w:t>
      </w:r>
      <w:hyperlink r:id="rId41" w:history="1">
        <w:r w:rsidRPr="00F10F11">
          <w:rPr>
            <w:rStyle w:val="Hyperlink"/>
            <w:rFonts w:ascii="Times New Roman" w:hAnsi="Times New Roman" w:cs="Times New Roman"/>
            <w:sz w:val="24"/>
          </w:rPr>
          <w:t>https://civilrightsdata.ed.gov/data</w:t>
        </w:r>
      </w:hyperlink>
    </w:p>
    <w:p w14:paraId="712683D8" w14:textId="77777777" w:rsidR="00910E8B" w:rsidRDefault="00910E8B" w:rsidP="001B728D">
      <w:pPr>
        <w:spacing w:line="480" w:lineRule="auto"/>
        <w:ind w:left="720" w:hanging="720"/>
        <w:jc w:val="left"/>
        <w:rPr>
          <w:rStyle w:val="Hyperlink"/>
          <w:rFonts w:ascii="Times New Roman" w:hAnsi="Times New Roman" w:cs="Times New Roman"/>
          <w:sz w:val="24"/>
        </w:rPr>
      </w:pPr>
      <w:r w:rsidRPr="0009389E">
        <w:rPr>
          <w:rFonts w:ascii="Times New Roman" w:hAnsi="Times New Roman" w:cs="Times New Roman"/>
          <w:sz w:val="24"/>
        </w:rPr>
        <w:t xml:space="preserve">Woods, C. S., Park, T., Hu, S., &amp; Betrand Jones, T. (2018). How </w:t>
      </w:r>
      <w:r>
        <w:rPr>
          <w:rFonts w:ascii="Times New Roman" w:hAnsi="Times New Roman" w:cs="Times New Roman"/>
          <w:sz w:val="24"/>
        </w:rPr>
        <w:t>h</w:t>
      </w:r>
      <w:r w:rsidRPr="0009389E">
        <w:rPr>
          <w:rFonts w:ascii="Times New Roman" w:hAnsi="Times New Roman" w:cs="Times New Roman"/>
          <w:sz w:val="24"/>
        </w:rPr>
        <w:t xml:space="preserve">igh </w:t>
      </w:r>
      <w:r>
        <w:rPr>
          <w:rFonts w:ascii="Times New Roman" w:hAnsi="Times New Roman" w:cs="Times New Roman"/>
          <w:sz w:val="24"/>
        </w:rPr>
        <w:t>s</w:t>
      </w:r>
      <w:r w:rsidRPr="0009389E">
        <w:rPr>
          <w:rFonts w:ascii="Times New Roman" w:hAnsi="Times New Roman" w:cs="Times New Roman"/>
          <w:sz w:val="24"/>
        </w:rPr>
        <w:t xml:space="preserve">chool </w:t>
      </w:r>
      <w:r>
        <w:rPr>
          <w:rFonts w:ascii="Times New Roman" w:hAnsi="Times New Roman" w:cs="Times New Roman"/>
          <w:sz w:val="24"/>
        </w:rPr>
        <w:t>c</w:t>
      </w:r>
      <w:r w:rsidRPr="0009389E">
        <w:rPr>
          <w:rFonts w:ascii="Times New Roman" w:hAnsi="Times New Roman" w:cs="Times New Roman"/>
          <w:sz w:val="24"/>
        </w:rPr>
        <w:t xml:space="preserve">oursework </w:t>
      </w:r>
      <w:r>
        <w:rPr>
          <w:rFonts w:ascii="Times New Roman" w:hAnsi="Times New Roman" w:cs="Times New Roman"/>
          <w:sz w:val="24"/>
        </w:rPr>
        <w:t>p</w:t>
      </w:r>
      <w:r w:rsidRPr="0009389E">
        <w:rPr>
          <w:rFonts w:ascii="Times New Roman" w:hAnsi="Times New Roman" w:cs="Times New Roman"/>
          <w:sz w:val="24"/>
        </w:rPr>
        <w:t xml:space="preserve">redicts </w:t>
      </w:r>
      <w:r>
        <w:rPr>
          <w:rFonts w:ascii="Times New Roman" w:hAnsi="Times New Roman" w:cs="Times New Roman"/>
          <w:sz w:val="24"/>
        </w:rPr>
        <w:t>i</w:t>
      </w:r>
      <w:r w:rsidRPr="0009389E">
        <w:rPr>
          <w:rFonts w:ascii="Times New Roman" w:hAnsi="Times New Roman" w:cs="Times New Roman"/>
          <w:sz w:val="24"/>
        </w:rPr>
        <w:t xml:space="preserve">ntroductory </w:t>
      </w:r>
      <w:r>
        <w:rPr>
          <w:rFonts w:ascii="Times New Roman" w:hAnsi="Times New Roman" w:cs="Times New Roman"/>
          <w:sz w:val="24"/>
        </w:rPr>
        <w:t>c</w:t>
      </w:r>
      <w:r w:rsidRPr="0009389E">
        <w:rPr>
          <w:rFonts w:ascii="Times New Roman" w:hAnsi="Times New Roman" w:cs="Times New Roman"/>
          <w:sz w:val="24"/>
        </w:rPr>
        <w:t>ollege-</w:t>
      </w:r>
      <w:r>
        <w:rPr>
          <w:rFonts w:ascii="Times New Roman" w:hAnsi="Times New Roman" w:cs="Times New Roman"/>
          <w:sz w:val="24"/>
        </w:rPr>
        <w:t>l</w:t>
      </w:r>
      <w:r w:rsidRPr="0009389E">
        <w:rPr>
          <w:rFonts w:ascii="Times New Roman" w:hAnsi="Times New Roman" w:cs="Times New Roman"/>
          <w:sz w:val="24"/>
        </w:rPr>
        <w:t xml:space="preserve">evel </w:t>
      </w:r>
      <w:r>
        <w:rPr>
          <w:rFonts w:ascii="Times New Roman" w:hAnsi="Times New Roman" w:cs="Times New Roman"/>
          <w:sz w:val="24"/>
        </w:rPr>
        <w:t>c</w:t>
      </w:r>
      <w:r w:rsidRPr="0009389E">
        <w:rPr>
          <w:rFonts w:ascii="Times New Roman" w:hAnsi="Times New Roman" w:cs="Times New Roman"/>
          <w:sz w:val="24"/>
        </w:rPr>
        <w:t xml:space="preserve">ourse </w:t>
      </w:r>
      <w:r>
        <w:rPr>
          <w:rFonts w:ascii="Times New Roman" w:hAnsi="Times New Roman" w:cs="Times New Roman"/>
          <w:sz w:val="24"/>
        </w:rPr>
        <w:t>s</w:t>
      </w:r>
      <w:r w:rsidRPr="0009389E">
        <w:rPr>
          <w:rFonts w:ascii="Times New Roman" w:hAnsi="Times New Roman" w:cs="Times New Roman"/>
          <w:sz w:val="24"/>
        </w:rPr>
        <w:t>uccess. </w:t>
      </w:r>
      <w:r w:rsidRPr="0009389E">
        <w:rPr>
          <w:rFonts w:ascii="Times New Roman" w:hAnsi="Times New Roman" w:cs="Times New Roman"/>
          <w:i/>
          <w:iCs/>
          <w:sz w:val="24"/>
        </w:rPr>
        <w:t>Community College Review</w:t>
      </w:r>
      <w:r w:rsidRPr="0009389E">
        <w:rPr>
          <w:rFonts w:ascii="Times New Roman" w:hAnsi="Times New Roman" w:cs="Times New Roman"/>
          <w:sz w:val="24"/>
        </w:rPr>
        <w:t>, </w:t>
      </w:r>
      <w:r w:rsidRPr="0009389E">
        <w:rPr>
          <w:rFonts w:ascii="Times New Roman" w:hAnsi="Times New Roman" w:cs="Times New Roman"/>
          <w:i/>
          <w:iCs/>
          <w:sz w:val="24"/>
        </w:rPr>
        <w:t>46</w:t>
      </w:r>
      <w:r w:rsidRPr="0009389E">
        <w:rPr>
          <w:rFonts w:ascii="Times New Roman" w:hAnsi="Times New Roman" w:cs="Times New Roman"/>
          <w:sz w:val="24"/>
        </w:rPr>
        <w:t>(2), 176</w:t>
      </w:r>
      <w:r>
        <w:rPr>
          <w:rFonts w:ascii="Times New Roman" w:hAnsi="Times New Roman" w:cs="Times New Roman"/>
          <w:sz w:val="24"/>
        </w:rPr>
        <w:t>–</w:t>
      </w:r>
      <w:r w:rsidRPr="0009389E">
        <w:rPr>
          <w:rFonts w:ascii="Times New Roman" w:hAnsi="Times New Roman" w:cs="Times New Roman"/>
          <w:sz w:val="24"/>
        </w:rPr>
        <w:t>196. </w:t>
      </w:r>
      <w:hyperlink r:id="rId42" w:history="1">
        <w:r w:rsidRPr="0009389E">
          <w:rPr>
            <w:rStyle w:val="Hyperlink"/>
            <w:rFonts w:ascii="Times New Roman" w:hAnsi="Times New Roman" w:cs="Times New Roman"/>
            <w:sz w:val="24"/>
          </w:rPr>
          <w:t>https://doi.org/10.1177/0091552118759419</w:t>
        </w:r>
      </w:hyperlink>
    </w:p>
    <w:p w14:paraId="6D9CDEBE" w14:textId="77777777" w:rsidR="00910E8B" w:rsidRDefault="00910E8B" w:rsidP="001B728D">
      <w:pPr>
        <w:spacing w:line="480" w:lineRule="auto"/>
        <w:ind w:left="720" w:hanging="720"/>
        <w:jc w:val="left"/>
        <w:rPr>
          <w:rFonts w:ascii="Times New Roman" w:hAnsi="Times New Roman" w:cs="Times New Roman"/>
          <w:sz w:val="24"/>
        </w:rPr>
      </w:pPr>
      <w:r>
        <w:rPr>
          <w:rFonts w:ascii="Times New Roman" w:hAnsi="Times New Roman" w:cs="Times New Roman"/>
          <w:sz w:val="24"/>
        </w:rPr>
        <w:t xml:space="preserve">Xu, R., &amp; Wunsch, D. (2005). </w:t>
      </w:r>
      <w:r w:rsidRPr="008B698E">
        <w:rPr>
          <w:rFonts w:ascii="Times New Roman" w:hAnsi="Times New Roman" w:cs="Times New Roman"/>
          <w:sz w:val="24"/>
        </w:rPr>
        <w:t>Survey of clustering algorithms</w:t>
      </w:r>
      <w:r>
        <w:rPr>
          <w:rFonts w:ascii="Times New Roman" w:hAnsi="Times New Roman" w:cs="Times New Roman"/>
          <w:sz w:val="24"/>
        </w:rPr>
        <w:t xml:space="preserve">. </w:t>
      </w:r>
      <w:r w:rsidRPr="000935D3">
        <w:rPr>
          <w:rFonts w:ascii="Times New Roman" w:hAnsi="Times New Roman" w:cs="Times New Roman"/>
          <w:i/>
          <w:iCs/>
          <w:sz w:val="24"/>
        </w:rPr>
        <w:t>IEEE Transactions on Neural Networks, 16</w:t>
      </w:r>
      <w:r>
        <w:rPr>
          <w:rFonts w:ascii="Times New Roman" w:hAnsi="Times New Roman" w:cs="Times New Roman"/>
          <w:sz w:val="24"/>
        </w:rPr>
        <w:t xml:space="preserve">(3), 645–678. </w:t>
      </w:r>
      <w:hyperlink r:id="rId43" w:history="1">
        <w:r w:rsidRPr="008B698E">
          <w:rPr>
            <w:rStyle w:val="Hyperlink"/>
            <w:rFonts w:ascii="Times New Roman" w:hAnsi="Times New Roman" w:cs="Times New Roman"/>
            <w:sz w:val="24"/>
          </w:rPr>
          <w:t>http://doi.org/10.1109/TNN.2005.845141</w:t>
        </w:r>
      </w:hyperlink>
    </w:p>
    <w:p w14:paraId="50D36A04" w14:textId="77777777" w:rsidR="005506B8" w:rsidRDefault="005506B8" w:rsidP="001B728D">
      <w:pPr>
        <w:spacing w:line="480" w:lineRule="auto"/>
        <w:ind w:left="720" w:hanging="720"/>
        <w:jc w:val="left"/>
        <w:rPr>
          <w:rFonts w:ascii="Times New Roman" w:hAnsi="Times New Roman" w:cs="Times New Roman"/>
          <w:sz w:val="24"/>
        </w:rPr>
      </w:pPr>
    </w:p>
    <w:p w14:paraId="0F4D0FEC" w14:textId="77777777" w:rsidR="005506B8" w:rsidRDefault="005506B8" w:rsidP="001B728D">
      <w:pPr>
        <w:spacing w:line="480" w:lineRule="auto"/>
        <w:ind w:left="720" w:hanging="720"/>
        <w:jc w:val="left"/>
        <w:rPr>
          <w:rFonts w:ascii="Times New Roman" w:hAnsi="Times New Roman" w:cs="Times New Roman"/>
          <w:sz w:val="24"/>
        </w:rPr>
      </w:pPr>
    </w:p>
    <w:p w14:paraId="36939E11" w14:textId="77777777" w:rsidR="005506B8" w:rsidRDefault="005506B8" w:rsidP="001B728D">
      <w:pPr>
        <w:spacing w:line="480" w:lineRule="auto"/>
        <w:ind w:left="720" w:hanging="720"/>
        <w:jc w:val="left"/>
        <w:rPr>
          <w:rFonts w:ascii="Times New Roman" w:hAnsi="Times New Roman" w:cs="Times New Roman"/>
          <w:sz w:val="24"/>
        </w:rPr>
      </w:pPr>
    </w:p>
    <w:p w14:paraId="4C79F4CA" w14:textId="77777777" w:rsidR="004322FC" w:rsidRPr="004322FC" w:rsidRDefault="004322FC" w:rsidP="001B728D">
      <w:pPr>
        <w:spacing w:line="480" w:lineRule="auto"/>
        <w:ind w:left="720" w:hanging="720"/>
        <w:jc w:val="left"/>
        <w:rPr>
          <w:rFonts w:ascii="Times New Roman" w:hAnsi="Times New Roman" w:cs="Times New Roman"/>
          <w:sz w:val="24"/>
        </w:rPr>
      </w:pPr>
    </w:p>
    <w:p w14:paraId="3551EF1C" w14:textId="77777777" w:rsidR="003330B0" w:rsidRDefault="003330B0" w:rsidP="001B728D">
      <w:pPr>
        <w:spacing w:line="480" w:lineRule="auto"/>
        <w:ind w:left="720" w:hanging="720"/>
        <w:jc w:val="left"/>
        <w:rPr>
          <w:rFonts w:ascii="Times New Roman" w:hAnsi="Times New Roman" w:cs="Times New Roman"/>
          <w:sz w:val="24"/>
        </w:rPr>
      </w:pPr>
    </w:p>
    <w:p w14:paraId="56292E26" w14:textId="77777777" w:rsidR="003330B0" w:rsidRPr="003330B0" w:rsidRDefault="003330B0" w:rsidP="001B728D">
      <w:pPr>
        <w:spacing w:line="480" w:lineRule="auto"/>
        <w:ind w:left="720" w:hanging="720"/>
        <w:jc w:val="left"/>
        <w:rPr>
          <w:rFonts w:ascii="Times New Roman" w:hAnsi="Times New Roman" w:cs="Times New Roman"/>
          <w:sz w:val="24"/>
        </w:rPr>
      </w:pPr>
    </w:p>
    <w:p w14:paraId="683F103B" w14:textId="77777777" w:rsidR="0049347B" w:rsidRDefault="0049347B" w:rsidP="001B728D">
      <w:pPr>
        <w:spacing w:line="480" w:lineRule="auto"/>
        <w:ind w:left="720" w:hanging="720"/>
        <w:jc w:val="left"/>
        <w:rPr>
          <w:rFonts w:ascii="Times New Roman" w:hAnsi="Times New Roman" w:cs="Times New Roman"/>
          <w:sz w:val="24"/>
        </w:rPr>
      </w:pPr>
    </w:p>
    <w:p w14:paraId="0BCD1FE0" w14:textId="77777777" w:rsidR="00522CFB" w:rsidRDefault="00522CFB" w:rsidP="001B728D">
      <w:pPr>
        <w:spacing w:line="480" w:lineRule="auto"/>
        <w:ind w:left="720" w:hanging="720"/>
        <w:jc w:val="left"/>
        <w:rPr>
          <w:rFonts w:ascii="Times New Roman" w:hAnsi="Times New Roman" w:cs="Times New Roman"/>
          <w:sz w:val="24"/>
        </w:rPr>
      </w:pPr>
    </w:p>
    <w:p w14:paraId="63BF52DC" w14:textId="77777777" w:rsidR="00522CFB" w:rsidRPr="00522CFB" w:rsidRDefault="00522CFB" w:rsidP="001B728D">
      <w:pPr>
        <w:spacing w:line="480" w:lineRule="auto"/>
        <w:ind w:left="720" w:hanging="720"/>
        <w:jc w:val="left"/>
        <w:rPr>
          <w:rFonts w:ascii="Times New Roman" w:hAnsi="Times New Roman" w:cs="Times New Roman"/>
          <w:sz w:val="24"/>
        </w:rPr>
      </w:pPr>
    </w:p>
    <w:p w14:paraId="122B4546" w14:textId="795EBAE6" w:rsidR="00522CFB" w:rsidRDefault="00522CFB" w:rsidP="001B728D">
      <w:pPr>
        <w:spacing w:line="480" w:lineRule="auto"/>
        <w:ind w:left="720" w:hanging="720"/>
        <w:jc w:val="left"/>
        <w:rPr>
          <w:rFonts w:ascii="Times New Roman" w:hAnsi="Times New Roman" w:cs="Times New Roman"/>
          <w:color w:val="000000" w:themeColor="text1"/>
          <w:sz w:val="24"/>
        </w:rPr>
      </w:pPr>
    </w:p>
    <w:p w14:paraId="5862337A" w14:textId="77777777" w:rsidR="00522CFB" w:rsidRDefault="00522CFB" w:rsidP="001B728D">
      <w:pPr>
        <w:spacing w:line="480" w:lineRule="auto"/>
        <w:ind w:left="720" w:hanging="720"/>
        <w:jc w:val="left"/>
        <w:rPr>
          <w:rFonts w:ascii="Times New Roman" w:hAnsi="Times New Roman" w:cs="Times New Roman"/>
          <w:color w:val="000000" w:themeColor="text1"/>
          <w:sz w:val="24"/>
        </w:rPr>
      </w:pPr>
    </w:p>
    <w:p w14:paraId="447E726E" w14:textId="77777777" w:rsidR="00522CFB" w:rsidRDefault="00522CFB" w:rsidP="001B728D">
      <w:pPr>
        <w:spacing w:line="480" w:lineRule="auto"/>
        <w:ind w:left="720" w:hanging="720"/>
        <w:jc w:val="left"/>
        <w:rPr>
          <w:rFonts w:ascii="Times New Roman" w:hAnsi="Times New Roman" w:cs="Times New Roman"/>
          <w:color w:val="000000" w:themeColor="text1"/>
          <w:sz w:val="24"/>
        </w:rPr>
      </w:pPr>
    </w:p>
    <w:p w14:paraId="1BD070F0" w14:textId="5E32FF0F" w:rsidR="00F548C2" w:rsidRPr="00F548C2" w:rsidRDefault="00F548C2" w:rsidP="001B728D">
      <w:pPr>
        <w:spacing w:line="480" w:lineRule="auto"/>
        <w:ind w:left="720" w:hanging="720"/>
        <w:jc w:val="left"/>
        <w:rPr>
          <w:rFonts w:ascii="Times New Roman" w:hAnsi="Times New Roman" w:cs="Times New Roman"/>
          <w:color w:val="000000" w:themeColor="text1"/>
          <w:sz w:val="24"/>
        </w:rPr>
      </w:pPr>
    </w:p>
    <w:p w14:paraId="345F3F84" w14:textId="26896155" w:rsidR="00F548C2" w:rsidRDefault="00F548C2" w:rsidP="001B728D">
      <w:pPr>
        <w:spacing w:line="480" w:lineRule="auto"/>
        <w:ind w:left="720" w:hanging="720"/>
        <w:jc w:val="left"/>
        <w:rPr>
          <w:rFonts w:ascii="Times New Roman" w:hAnsi="Times New Roman" w:cs="Times New Roman"/>
          <w:color w:val="000000" w:themeColor="text1"/>
          <w:sz w:val="24"/>
        </w:rPr>
      </w:pPr>
    </w:p>
    <w:p w14:paraId="187FE137" w14:textId="0A5C231D" w:rsidR="00F548C2" w:rsidRDefault="00F548C2" w:rsidP="001B728D">
      <w:pPr>
        <w:spacing w:line="480" w:lineRule="auto"/>
        <w:ind w:left="720" w:hanging="720"/>
        <w:jc w:val="left"/>
        <w:rPr>
          <w:rStyle w:val="Hyperlink"/>
          <w:rFonts w:ascii="Times New Roman" w:hAnsi="Times New Roman" w:cs="Times New Roman"/>
          <w:color w:val="000000" w:themeColor="text1"/>
          <w:sz w:val="24"/>
          <w:u w:val="none"/>
        </w:rPr>
      </w:pPr>
    </w:p>
    <w:p w14:paraId="66B3CFEE" w14:textId="7CEFB964" w:rsidR="00F548C2" w:rsidRPr="00F548C2" w:rsidRDefault="00F548C2" w:rsidP="001B728D">
      <w:pPr>
        <w:spacing w:line="480" w:lineRule="auto"/>
        <w:ind w:left="720" w:hanging="720"/>
        <w:jc w:val="left"/>
        <w:rPr>
          <w:rStyle w:val="Hyperlink"/>
          <w:rFonts w:ascii="Times New Roman" w:hAnsi="Times New Roman" w:cs="Times New Roman"/>
          <w:color w:val="000000" w:themeColor="text1"/>
          <w:sz w:val="24"/>
          <w:u w:val="none"/>
        </w:rPr>
      </w:pPr>
    </w:p>
    <w:p w14:paraId="6F171831" w14:textId="77777777" w:rsidR="00587BC0" w:rsidRPr="007A6780" w:rsidRDefault="00587BC0" w:rsidP="001B728D">
      <w:pPr>
        <w:spacing w:line="480" w:lineRule="auto"/>
        <w:rPr>
          <w:b/>
          <w:bCs/>
        </w:rPr>
      </w:pPr>
    </w:p>
    <w:sectPr w:rsidR="00587BC0" w:rsidRPr="007A6780" w:rsidSect="00EC1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702EB" w14:textId="77777777" w:rsidR="00A95174" w:rsidRDefault="00A95174" w:rsidP="00CC66AA">
      <w:r>
        <w:separator/>
      </w:r>
    </w:p>
  </w:endnote>
  <w:endnote w:type="continuationSeparator" w:id="0">
    <w:p w14:paraId="22DDCFB8" w14:textId="77777777" w:rsidR="00A95174" w:rsidRDefault="00A95174" w:rsidP="00CC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024B0" w14:textId="77777777" w:rsidR="00A95174" w:rsidRDefault="00A95174" w:rsidP="00CC66AA">
      <w:r>
        <w:separator/>
      </w:r>
    </w:p>
  </w:footnote>
  <w:footnote w:type="continuationSeparator" w:id="0">
    <w:p w14:paraId="62A3938A" w14:textId="77777777" w:rsidR="00A95174" w:rsidRDefault="00A95174" w:rsidP="00CC6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7805709"/>
      <w:docPartObj>
        <w:docPartGallery w:val="Page Numbers (Top of Page)"/>
        <w:docPartUnique/>
      </w:docPartObj>
    </w:sdtPr>
    <w:sdtContent>
      <w:p w14:paraId="633B963E" w14:textId="0EE4A5DD" w:rsidR="00CC66AA" w:rsidRDefault="00CC66AA" w:rsidP="00F10F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A1FA79" w14:textId="77777777" w:rsidR="00CC66AA" w:rsidRDefault="00CC66AA" w:rsidP="00CC66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2378133"/>
      <w:docPartObj>
        <w:docPartGallery w:val="Page Numbers (Top of Page)"/>
        <w:docPartUnique/>
      </w:docPartObj>
    </w:sdtPr>
    <w:sdtContent>
      <w:p w14:paraId="59F1561D" w14:textId="75B42BEE" w:rsidR="00CC66AA" w:rsidRDefault="00CC66AA" w:rsidP="00F10F11">
        <w:pPr>
          <w:pStyle w:val="Header"/>
          <w:framePr w:wrap="none" w:vAnchor="text" w:hAnchor="margin" w:xAlign="right" w:y="1"/>
          <w:rPr>
            <w:rStyle w:val="PageNumber"/>
          </w:rPr>
        </w:pPr>
        <w:r w:rsidRPr="00CC66AA">
          <w:rPr>
            <w:rStyle w:val="PageNumber"/>
            <w:rFonts w:ascii="Times New Roman" w:hAnsi="Times New Roman" w:cs="Times New Roman"/>
            <w:sz w:val="24"/>
          </w:rPr>
          <w:fldChar w:fldCharType="begin"/>
        </w:r>
        <w:r w:rsidRPr="00CC66AA">
          <w:rPr>
            <w:rStyle w:val="PageNumber"/>
            <w:rFonts w:ascii="Times New Roman" w:hAnsi="Times New Roman" w:cs="Times New Roman"/>
            <w:sz w:val="24"/>
          </w:rPr>
          <w:instrText xml:space="preserve"> PAGE </w:instrText>
        </w:r>
        <w:r w:rsidRPr="00CC66AA">
          <w:rPr>
            <w:rStyle w:val="PageNumber"/>
            <w:rFonts w:ascii="Times New Roman" w:hAnsi="Times New Roman" w:cs="Times New Roman"/>
            <w:sz w:val="24"/>
          </w:rPr>
          <w:fldChar w:fldCharType="separate"/>
        </w:r>
        <w:r w:rsidRPr="00CC66AA">
          <w:rPr>
            <w:rStyle w:val="PageNumber"/>
            <w:rFonts w:ascii="Times New Roman" w:hAnsi="Times New Roman" w:cs="Times New Roman"/>
            <w:noProof/>
            <w:sz w:val="24"/>
          </w:rPr>
          <w:t>1</w:t>
        </w:r>
        <w:r w:rsidRPr="00CC66AA">
          <w:rPr>
            <w:rStyle w:val="PageNumber"/>
            <w:rFonts w:ascii="Times New Roman" w:hAnsi="Times New Roman" w:cs="Times New Roman"/>
            <w:sz w:val="24"/>
          </w:rPr>
          <w:fldChar w:fldCharType="end"/>
        </w:r>
      </w:p>
    </w:sdtContent>
  </w:sdt>
  <w:p w14:paraId="323F30D0" w14:textId="77777777" w:rsidR="00CC66AA" w:rsidRDefault="00CC66AA" w:rsidP="00CC66A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A1752"/>
    <w:multiLevelType w:val="hybridMultilevel"/>
    <w:tmpl w:val="90F6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55517"/>
    <w:multiLevelType w:val="hybridMultilevel"/>
    <w:tmpl w:val="5760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14582">
    <w:abstractNumId w:val="0"/>
  </w:num>
  <w:num w:numId="2" w16cid:durableId="512912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80"/>
    <w:rsid w:val="00033BA0"/>
    <w:rsid w:val="00043D09"/>
    <w:rsid w:val="0006575F"/>
    <w:rsid w:val="00081D9B"/>
    <w:rsid w:val="000935D3"/>
    <w:rsid w:val="00096654"/>
    <w:rsid w:val="000B0326"/>
    <w:rsid w:val="000B67F8"/>
    <w:rsid w:val="000B7CD9"/>
    <w:rsid w:val="000E359B"/>
    <w:rsid w:val="000E4A69"/>
    <w:rsid w:val="001135EE"/>
    <w:rsid w:val="00174FC5"/>
    <w:rsid w:val="001868EF"/>
    <w:rsid w:val="001871BB"/>
    <w:rsid w:val="001B728D"/>
    <w:rsid w:val="0023503B"/>
    <w:rsid w:val="00240131"/>
    <w:rsid w:val="00286BC3"/>
    <w:rsid w:val="0029278F"/>
    <w:rsid w:val="002D473E"/>
    <w:rsid w:val="002D4C49"/>
    <w:rsid w:val="002F5F20"/>
    <w:rsid w:val="003330B0"/>
    <w:rsid w:val="0033327B"/>
    <w:rsid w:val="00377268"/>
    <w:rsid w:val="00395589"/>
    <w:rsid w:val="003A4BAA"/>
    <w:rsid w:val="00411B61"/>
    <w:rsid w:val="00426554"/>
    <w:rsid w:val="004322FC"/>
    <w:rsid w:val="0043540C"/>
    <w:rsid w:val="004620C7"/>
    <w:rsid w:val="0049347B"/>
    <w:rsid w:val="004B2C3C"/>
    <w:rsid w:val="004B4EFF"/>
    <w:rsid w:val="004C7E61"/>
    <w:rsid w:val="004D5CF0"/>
    <w:rsid w:val="004E4E03"/>
    <w:rsid w:val="0050642A"/>
    <w:rsid w:val="00522CFB"/>
    <w:rsid w:val="00531A86"/>
    <w:rsid w:val="005506B8"/>
    <w:rsid w:val="005649F5"/>
    <w:rsid w:val="005711E4"/>
    <w:rsid w:val="00587001"/>
    <w:rsid w:val="00587BC0"/>
    <w:rsid w:val="0059262F"/>
    <w:rsid w:val="005A0D7B"/>
    <w:rsid w:val="005F35E7"/>
    <w:rsid w:val="00610FD4"/>
    <w:rsid w:val="0061593E"/>
    <w:rsid w:val="006462BB"/>
    <w:rsid w:val="00655539"/>
    <w:rsid w:val="00661E2E"/>
    <w:rsid w:val="00672583"/>
    <w:rsid w:val="006D28FC"/>
    <w:rsid w:val="006D315F"/>
    <w:rsid w:val="00702B2C"/>
    <w:rsid w:val="00753300"/>
    <w:rsid w:val="007544FD"/>
    <w:rsid w:val="00754B26"/>
    <w:rsid w:val="00765CC5"/>
    <w:rsid w:val="007A6780"/>
    <w:rsid w:val="007B61C6"/>
    <w:rsid w:val="007E1FBB"/>
    <w:rsid w:val="0080053B"/>
    <w:rsid w:val="0082305B"/>
    <w:rsid w:val="00841B8E"/>
    <w:rsid w:val="008502B5"/>
    <w:rsid w:val="00852077"/>
    <w:rsid w:val="00852228"/>
    <w:rsid w:val="008524B9"/>
    <w:rsid w:val="00856886"/>
    <w:rsid w:val="0086343C"/>
    <w:rsid w:val="008B2C34"/>
    <w:rsid w:val="008B698E"/>
    <w:rsid w:val="008D1196"/>
    <w:rsid w:val="008D19C1"/>
    <w:rsid w:val="008D6441"/>
    <w:rsid w:val="008F4178"/>
    <w:rsid w:val="00902882"/>
    <w:rsid w:val="0090476A"/>
    <w:rsid w:val="00910054"/>
    <w:rsid w:val="00910E8B"/>
    <w:rsid w:val="0093056D"/>
    <w:rsid w:val="00931199"/>
    <w:rsid w:val="009375BD"/>
    <w:rsid w:val="009626A0"/>
    <w:rsid w:val="00970C3F"/>
    <w:rsid w:val="009C2B0E"/>
    <w:rsid w:val="009E1FCD"/>
    <w:rsid w:val="009F71A1"/>
    <w:rsid w:val="00A14023"/>
    <w:rsid w:val="00A17696"/>
    <w:rsid w:val="00A25BAC"/>
    <w:rsid w:val="00A607E6"/>
    <w:rsid w:val="00A62FA8"/>
    <w:rsid w:val="00A95174"/>
    <w:rsid w:val="00A97B34"/>
    <w:rsid w:val="00AB65AD"/>
    <w:rsid w:val="00AD525E"/>
    <w:rsid w:val="00AD7BC3"/>
    <w:rsid w:val="00AF7465"/>
    <w:rsid w:val="00B20C5D"/>
    <w:rsid w:val="00B47FD4"/>
    <w:rsid w:val="00B538CC"/>
    <w:rsid w:val="00B640E4"/>
    <w:rsid w:val="00B85848"/>
    <w:rsid w:val="00B85E0B"/>
    <w:rsid w:val="00B87BE9"/>
    <w:rsid w:val="00B97C36"/>
    <w:rsid w:val="00BB2E63"/>
    <w:rsid w:val="00BB5C13"/>
    <w:rsid w:val="00BC03C3"/>
    <w:rsid w:val="00BC6FDF"/>
    <w:rsid w:val="00BF3EF8"/>
    <w:rsid w:val="00C12E04"/>
    <w:rsid w:val="00C144E8"/>
    <w:rsid w:val="00C55BED"/>
    <w:rsid w:val="00C6316B"/>
    <w:rsid w:val="00CA23DB"/>
    <w:rsid w:val="00CC66AA"/>
    <w:rsid w:val="00CF0A68"/>
    <w:rsid w:val="00CF0EBA"/>
    <w:rsid w:val="00CF3B0D"/>
    <w:rsid w:val="00D2258A"/>
    <w:rsid w:val="00D27425"/>
    <w:rsid w:val="00D43AD6"/>
    <w:rsid w:val="00D8053D"/>
    <w:rsid w:val="00D90BC2"/>
    <w:rsid w:val="00DA3F1A"/>
    <w:rsid w:val="00DB71B3"/>
    <w:rsid w:val="00DC4103"/>
    <w:rsid w:val="00DC5716"/>
    <w:rsid w:val="00DD1E04"/>
    <w:rsid w:val="00DF438E"/>
    <w:rsid w:val="00E01374"/>
    <w:rsid w:val="00E36A50"/>
    <w:rsid w:val="00E468EE"/>
    <w:rsid w:val="00E66642"/>
    <w:rsid w:val="00EA0A1A"/>
    <w:rsid w:val="00EB71F4"/>
    <w:rsid w:val="00EC1F8E"/>
    <w:rsid w:val="00F2223F"/>
    <w:rsid w:val="00F548C2"/>
    <w:rsid w:val="00F557FC"/>
    <w:rsid w:val="00FA1232"/>
    <w:rsid w:val="00FA54A0"/>
    <w:rsid w:val="00FA7A26"/>
    <w:rsid w:val="00FD28DA"/>
    <w:rsid w:val="00FE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A1CD92"/>
  <w15:chartTrackingRefBased/>
  <w15:docId w15:val="{493A278D-17A5-6047-B60A-359C41A8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780"/>
    <w:pPr>
      <w:widowControl w:val="0"/>
      <w:jc w:val="both"/>
    </w:pPr>
  </w:style>
  <w:style w:type="paragraph" w:styleId="Heading1">
    <w:name w:val="heading 1"/>
    <w:basedOn w:val="Normal"/>
    <w:next w:val="Normal"/>
    <w:link w:val="Heading1Char"/>
    <w:uiPriority w:val="9"/>
    <w:qFormat/>
    <w:rsid w:val="007A67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7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7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7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7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7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7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7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7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7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7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7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780"/>
    <w:rPr>
      <w:rFonts w:eastAsiaTheme="majorEastAsia" w:cstheme="majorBidi"/>
      <w:color w:val="272727" w:themeColor="text1" w:themeTint="D8"/>
    </w:rPr>
  </w:style>
  <w:style w:type="paragraph" w:styleId="Title">
    <w:name w:val="Title"/>
    <w:basedOn w:val="Normal"/>
    <w:next w:val="Normal"/>
    <w:link w:val="TitleChar"/>
    <w:uiPriority w:val="10"/>
    <w:qFormat/>
    <w:rsid w:val="007A67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7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7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6780"/>
    <w:rPr>
      <w:i/>
      <w:iCs/>
      <w:color w:val="404040" w:themeColor="text1" w:themeTint="BF"/>
    </w:rPr>
  </w:style>
  <w:style w:type="paragraph" w:styleId="ListParagraph">
    <w:name w:val="List Paragraph"/>
    <w:basedOn w:val="Normal"/>
    <w:uiPriority w:val="34"/>
    <w:qFormat/>
    <w:rsid w:val="007A6780"/>
    <w:pPr>
      <w:ind w:left="720"/>
      <w:contextualSpacing/>
    </w:pPr>
  </w:style>
  <w:style w:type="character" w:styleId="IntenseEmphasis">
    <w:name w:val="Intense Emphasis"/>
    <w:basedOn w:val="DefaultParagraphFont"/>
    <w:uiPriority w:val="21"/>
    <w:qFormat/>
    <w:rsid w:val="007A6780"/>
    <w:rPr>
      <w:i/>
      <w:iCs/>
      <w:color w:val="2F5496" w:themeColor="accent1" w:themeShade="BF"/>
    </w:rPr>
  </w:style>
  <w:style w:type="paragraph" w:styleId="IntenseQuote">
    <w:name w:val="Intense Quote"/>
    <w:basedOn w:val="Normal"/>
    <w:next w:val="Normal"/>
    <w:link w:val="IntenseQuoteChar"/>
    <w:uiPriority w:val="30"/>
    <w:qFormat/>
    <w:rsid w:val="007A67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780"/>
    <w:rPr>
      <w:i/>
      <w:iCs/>
      <w:color w:val="2F5496" w:themeColor="accent1" w:themeShade="BF"/>
    </w:rPr>
  </w:style>
  <w:style w:type="character" w:styleId="IntenseReference">
    <w:name w:val="Intense Reference"/>
    <w:basedOn w:val="DefaultParagraphFont"/>
    <w:uiPriority w:val="32"/>
    <w:qFormat/>
    <w:rsid w:val="007A6780"/>
    <w:rPr>
      <w:b/>
      <w:bCs/>
      <w:smallCaps/>
      <w:color w:val="2F5496" w:themeColor="accent1" w:themeShade="BF"/>
      <w:spacing w:val="5"/>
    </w:rPr>
  </w:style>
  <w:style w:type="character" w:styleId="CommentReference">
    <w:name w:val="annotation reference"/>
    <w:basedOn w:val="DefaultParagraphFont"/>
    <w:uiPriority w:val="99"/>
    <w:semiHidden/>
    <w:unhideWhenUsed/>
    <w:rsid w:val="000B67F8"/>
    <w:rPr>
      <w:sz w:val="16"/>
      <w:szCs w:val="16"/>
    </w:rPr>
  </w:style>
  <w:style w:type="paragraph" w:styleId="CommentText">
    <w:name w:val="annotation text"/>
    <w:basedOn w:val="Normal"/>
    <w:link w:val="CommentTextChar"/>
    <w:uiPriority w:val="99"/>
    <w:semiHidden/>
    <w:unhideWhenUsed/>
    <w:rsid w:val="000B67F8"/>
    <w:rPr>
      <w:sz w:val="20"/>
      <w:szCs w:val="20"/>
    </w:rPr>
  </w:style>
  <w:style w:type="character" w:customStyle="1" w:styleId="CommentTextChar">
    <w:name w:val="Comment Text Char"/>
    <w:basedOn w:val="DefaultParagraphFont"/>
    <w:link w:val="CommentText"/>
    <w:uiPriority w:val="99"/>
    <w:semiHidden/>
    <w:rsid w:val="000B67F8"/>
    <w:rPr>
      <w:sz w:val="20"/>
      <w:szCs w:val="20"/>
    </w:rPr>
  </w:style>
  <w:style w:type="character" w:styleId="Hyperlink">
    <w:name w:val="Hyperlink"/>
    <w:basedOn w:val="DefaultParagraphFont"/>
    <w:uiPriority w:val="99"/>
    <w:unhideWhenUsed/>
    <w:rsid w:val="00B97C36"/>
    <w:rPr>
      <w:color w:val="0563C1" w:themeColor="hyperlink"/>
      <w:u w:val="single"/>
    </w:rPr>
  </w:style>
  <w:style w:type="character" w:styleId="UnresolvedMention">
    <w:name w:val="Unresolved Mention"/>
    <w:basedOn w:val="DefaultParagraphFont"/>
    <w:uiPriority w:val="99"/>
    <w:semiHidden/>
    <w:unhideWhenUsed/>
    <w:rsid w:val="00B97C36"/>
    <w:rPr>
      <w:color w:val="605E5C"/>
      <w:shd w:val="clear" w:color="auto" w:fill="E1DFDD"/>
    </w:rPr>
  </w:style>
  <w:style w:type="character" w:styleId="FollowedHyperlink">
    <w:name w:val="FollowedHyperlink"/>
    <w:basedOn w:val="DefaultParagraphFont"/>
    <w:uiPriority w:val="99"/>
    <w:semiHidden/>
    <w:unhideWhenUsed/>
    <w:rsid w:val="00B97C36"/>
    <w:rPr>
      <w:color w:val="954F72" w:themeColor="followedHyperlink"/>
      <w:u w:val="single"/>
    </w:rPr>
  </w:style>
  <w:style w:type="paragraph" w:styleId="Header">
    <w:name w:val="header"/>
    <w:basedOn w:val="Normal"/>
    <w:link w:val="HeaderChar"/>
    <w:uiPriority w:val="99"/>
    <w:unhideWhenUsed/>
    <w:rsid w:val="00CC66AA"/>
    <w:pPr>
      <w:tabs>
        <w:tab w:val="center" w:pos="4680"/>
        <w:tab w:val="right" w:pos="9360"/>
      </w:tabs>
    </w:pPr>
  </w:style>
  <w:style w:type="character" w:customStyle="1" w:styleId="HeaderChar">
    <w:name w:val="Header Char"/>
    <w:basedOn w:val="DefaultParagraphFont"/>
    <w:link w:val="Header"/>
    <w:uiPriority w:val="99"/>
    <w:rsid w:val="00CC66AA"/>
  </w:style>
  <w:style w:type="paragraph" w:styleId="Footer">
    <w:name w:val="footer"/>
    <w:basedOn w:val="Normal"/>
    <w:link w:val="FooterChar"/>
    <w:uiPriority w:val="99"/>
    <w:unhideWhenUsed/>
    <w:rsid w:val="00CC66AA"/>
    <w:pPr>
      <w:tabs>
        <w:tab w:val="center" w:pos="4680"/>
        <w:tab w:val="right" w:pos="9360"/>
      </w:tabs>
    </w:pPr>
  </w:style>
  <w:style w:type="character" w:customStyle="1" w:styleId="FooterChar">
    <w:name w:val="Footer Char"/>
    <w:basedOn w:val="DefaultParagraphFont"/>
    <w:link w:val="Footer"/>
    <w:uiPriority w:val="99"/>
    <w:rsid w:val="00CC66AA"/>
  </w:style>
  <w:style w:type="character" w:styleId="PageNumber">
    <w:name w:val="page number"/>
    <w:basedOn w:val="DefaultParagraphFont"/>
    <w:uiPriority w:val="99"/>
    <w:semiHidden/>
    <w:unhideWhenUsed/>
    <w:rsid w:val="00CC66AA"/>
  </w:style>
  <w:style w:type="character" w:styleId="PlaceholderText">
    <w:name w:val="Placeholder Text"/>
    <w:basedOn w:val="DefaultParagraphFont"/>
    <w:uiPriority w:val="99"/>
    <w:semiHidden/>
    <w:rsid w:val="0029278F"/>
    <w:rPr>
      <w:color w:val="666666"/>
    </w:rPr>
  </w:style>
  <w:style w:type="table" w:styleId="TableGrid">
    <w:name w:val="Table Grid"/>
    <w:basedOn w:val="TableNormal"/>
    <w:uiPriority w:val="39"/>
    <w:rsid w:val="0033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33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23">
      <w:bodyDiv w:val="1"/>
      <w:marLeft w:val="0"/>
      <w:marRight w:val="0"/>
      <w:marTop w:val="0"/>
      <w:marBottom w:val="0"/>
      <w:divBdr>
        <w:top w:val="none" w:sz="0" w:space="0" w:color="auto"/>
        <w:left w:val="none" w:sz="0" w:space="0" w:color="auto"/>
        <w:bottom w:val="none" w:sz="0" w:space="0" w:color="auto"/>
        <w:right w:val="none" w:sz="0" w:space="0" w:color="auto"/>
      </w:divBdr>
    </w:div>
    <w:div w:id="304049572">
      <w:bodyDiv w:val="1"/>
      <w:marLeft w:val="0"/>
      <w:marRight w:val="0"/>
      <w:marTop w:val="0"/>
      <w:marBottom w:val="0"/>
      <w:divBdr>
        <w:top w:val="none" w:sz="0" w:space="0" w:color="auto"/>
        <w:left w:val="none" w:sz="0" w:space="0" w:color="auto"/>
        <w:bottom w:val="none" w:sz="0" w:space="0" w:color="auto"/>
        <w:right w:val="none" w:sz="0" w:space="0" w:color="auto"/>
      </w:divBdr>
    </w:div>
    <w:div w:id="327900298">
      <w:bodyDiv w:val="1"/>
      <w:marLeft w:val="0"/>
      <w:marRight w:val="0"/>
      <w:marTop w:val="0"/>
      <w:marBottom w:val="0"/>
      <w:divBdr>
        <w:top w:val="none" w:sz="0" w:space="0" w:color="auto"/>
        <w:left w:val="none" w:sz="0" w:space="0" w:color="auto"/>
        <w:bottom w:val="none" w:sz="0" w:space="0" w:color="auto"/>
        <w:right w:val="none" w:sz="0" w:space="0" w:color="auto"/>
      </w:divBdr>
    </w:div>
    <w:div w:id="372460667">
      <w:bodyDiv w:val="1"/>
      <w:marLeft w:val="0"/>
      <w:marRight w:val="0"/>
      <w:marTop w:val="0"/>
      <w:marBottom w:val="0"/>
      <w:divBdr>
        <w:top w:val="none" w:sz="0" w:space="0" w:color="auto"/>
        <w:left w:val="none" w:sz="0" w:space="0" w:color="auto"/>
        <w:bottom w:val="none" w:sz="0" w:space="0" w:color="auto"/>
        <w:right w:val="none" w:sz="0" w:space="0" w:color="auto"/>
      </w:divBdr>
    </w:div>
    <w:div w:id="466431665">
      <w:bodyDiv w:val="1"/>
      <w:marLeft w:val="0"/>
      <w:marRight w:val="0"/>
      <w:marTop w:val="0"/>
      <w:marBottom w:val="0"/>
      <w:divBdr>
        <w:top w:val="none" w:sz="0" w:space="0" w:color="auto"/>
        <w:left w:val="none" w:sz="0" w:space="0" w:color="auto"/>
        <w:bottom w:val="none" w:sz="0" w:space="0" w:color="auto"/>
        <w:right w:val="none" w:sz="0" w:space="0" w:color="auto"/>
      </w:divBdr>
    </w:div>
    <w:div w:id="746195775">
      <w:bodyDiv w:val="1"/>
      <w:marLeft w:val="0"/>
      <w:marRight w:val="0"/>
      <w:marTop w:val="0"/>
      <w:marBottom w:val="0"/>
      <w:divBdr>
        <w:top w:val="none" w:sz="0" w:space="0" w:color="auto"/>
        <w:left w:val="none" w:sz="0" w:space="0" w:color="auto"/>
        <w:bottom w:val="none" w:sz="0" w:space="0" w:color="auto"/>
        <w:right w:val="none" w:sz="0" w:space="0" w:color="auto"/>
      </w:divBdr>
    </w:div>
    <w:div w:id="1119837284">
      <w:bodyDiv w:val="1"/>
      <w:marLeft w:val="0"/>
      <w:marRight w:val="0"/>
      <w:marTop w:val="0"/>
      <w:marBottom w:val="0"/>
      <w:divBdr>
        <w:top w:val="none" w:sz="0" w:space="0" w:color="auto"/>
        <w:left w:val="none" w:sz="0" w:space="0" w:color="auto"/>
        <w:bottom w:val="none" w:sz="0" w:space="0" w:color="auto"/>
        <w:right w:val="none" w:sz="0" w:space="0" w:color="auto"/>
      </w:divBdr>
    </w:div>
    <w:div w:id="1191845644">
      <w:bodyDiv w:val="1"/>
      <w:marLeft w:val="0"/>
      <w:marRight w:val="0"/>
      <w:marTop w:val="0"/>
      <w:marBottom w:val="0"/>
      <w:divBdr>
        <w:top w:val="none" w:sz="0" w:space="0" w:color="auto"/>
        <w:left w:val="none" w:sz="0" w:space="0" w:color="auto"/>
        <w:bottom w:val="none" w:sz="0" w:space="0" w:color="auto"/>
        <w:right w:val="none" w:sz="0" w:space="0" w:color="auto"/>
      </w:divBdr>
    </w:div>
    <w:div w:id="1332413231">
      <w:bodyDiv w:val="1"/>
      <w:marLeft w:val="0"/>
      <w:marRight w:val="0"/>
      <w:marTop w:val="0"/>
      <w:marBottom w:val="0"/>
      <w:divBdr>
        <w:top w:val="none" w:sz="0" w:space="0" w:color="auto"/>
        <w:left w:val="none" w:sz="0" w:space="0" w:color="auto"/>
        <w:bottom w:val="none" w:sz="0" w:space="0" w:color="auto"/>
        <w:right w:val="none" w:sz="0" w:space="0" w:color="auto"/>
      </w:divBdr>
    </w:div>
    <w:div w:id="1334449769">
      <w:bodyDiv w:val="1"/>
      <w:marLeft w:val="0"/>
      <w:marRight w:val="0"/>
      <w:marTop w:val="0"/>
      <w:marBottom w:val="0"/>
      <w:divBdr>
        <w:top w:val="none" w:sz="0" w:space="0" w:color="auto"/>
        <w:left w:val="none" w:sz="0" w:space="0" w:color="auto"/>
        <w:bottom w:val="none" w:sz="0" w:space="0" w:color="auto"/>
        <w:right w:val="none" w:sz="0" w:space="0" w:color="auto"/>
      </w:divBdr>
    </w:div>
    <w:div w:id="1842621407">
      <w:bodyDiv w:val="1"/>
      <w:marLeft w:val="0"/>
      <w:marRight w:val="0"/>
      <w:marTop w:val="0"/>
      <w:marBottom w:val="0"/>
      <w:divBdr>
        <w:top w:val="none" w:sz="0" w:space="0" w:color="auto"/>
        <w:left w:val="none" w:sz="0" w:space="0" w:color="auto"/>
        <w:bottom w:val="none" w:sz="0" w:space="0" w:color="auto"/>
        <w:right w:val="none" w:sz="0" w:space="0" w:color="auto"/>
      </w:divBdr>
    </w:div>
    <w:div w:id="192579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275/r4zq-9c31" TargetMode="External"/><Relationship Id="rId18" Type="http://schemas.openxmlformats.org/officeDocument/2006/relationships/hyperlink" Target="https://www.geeksforgeeks.org/how-to-use-na-rm-in-r/" TargetMode="External"/><Relationship Id="rId26" Type="http://schemas.openxmlformats.org/officeDocument/2006/relationships/hyperlink" Target="https://files.eric.ed.gov/fulltext/ED498661.pdf" TargetMode="External"/><Relationship Id="rId39" Type="http://schemas.openxmlformats.org/officeDocument/2006/relationships/hyperlink" Target="https://www.jstor.org/stable/40364293" TargetMode="External"/><Relationship Id="rId21" Type="http://schemas.openxmlformats.org/officeDocument/2006/relationships/hyperlink" Target="https://doi.org/10.1093/bioinformatics/btw313" TargetMode="External"/><Relationship Id="rId34" Type="http://schemas.openxmlformats.org/officeDocument/2006/relationships/hyperlink" Target="https://doi.org/10.3389/feduc.2022.646471" TargetMode="External"/><Relationship Id="rId42" Type="http://schemas.openxmlformats.org/officeDocument/2006/relationships/hyperlink" Target="https://doi.org/10.1177/0091552118759419"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73/pnas.95.25.14863" TargetMode="External"/><Relationship Id="rId29" Type="http://schemas.openxmlformats.org/officeDocument/2006/relationships/hyperlink" Target="https://doi.org/10.3102/00028312114319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102/0162373707313409" TargetMode="External"/><Relationship Id="rId24" Type="http://schemas.openxmlformats.org/officeDocument/2006/relationships/hyperlink" Target="https://doi.org/10.1145/331499.331504" TargetMode="External"/><Relationship Id="rId32" Type="http://schemas.openxmlformats.org/officeDocument/2006/relationships/hyperlink" Target="https://doi.org/10.3390/educsci8040191" TargetMode="External"/><Relationship Id="rId37" Type="http://schemas.openxmlformats.org/officeDocument/2006/relationships/hyperlink" Target="https://files.eric.ed.gov/fulltext/ED603195.pdf" TargetMode="External"/><Relationship Id="rId40" Type="http://schemas.openxmlformats.org/officeDocument/2006/relationships/hyperlink" Target="https://files.eric.ed.gov/fulltext/ED578802.pdf"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jpe.inased.org/makale/2539" TargetMode="External"/><Relationship Id="rId23" Type="http://schemas.openxmlformats.org/officeDocument/2006/relationships/hyperlink" Target="https://files.eric.ed.gov/fulltext/ED555671.pdf" TargetMode="External"/><Relationship Id="rId28" Type="http://schemas.openxmlformats.org/officeDocument/2006/relationships/hyperlink" Target="https://www.educationaldatamining.org/EDM2016/proceedings/paper_34.pdf" TargetMode="External"/><Relationship Id="rId36" Type="http://schemas.openxmlformats.org/officeDocument/2006/relationships/hyperlink" Target="https://www.air.org/sites/default/files/2022-06/22-18169-Advanced-Coursetaking-Brief-061422.pdf" TargetMode="External"/><Relationship Id="rId10" Type="http://schemas.openxmlformats.org/officeDocument/2006/relationships/image" Target="media/image2.png"/><Relationship Id="rId19" Type="http://schemas.openxmlformats.org/officeDocument/2006/relationships/hyperlink" Target="https://leadershipblog.act.org/2023/11/national-stem-day.html" TargetMode="External"/><Relationship Id="rId31" Type="http://schemas.openxmlformats.org/officeDocument/2006/relationships/hyperlink" Target="http://files.eric.ed.gov/fulltext/ED556464.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uvm.edu/~rgriffin/Darling-Hammond-Anatomy.pdf" TargetMode="External"/><Relationship Id="rId22" Type="http://schemas.openxmlformats.org/officeDocument/2006/relationships/hyperlink" Target="https://files.eric.ed.gov/fulltext/ED505556.pdf" TargetMode="External"/><Relationship Id="rId27" Type="http://schemas.openxmlformats.org/officeDocument/2006/relationships/hyperlink" Target="https://doi.org/10.3102/0013189X11432746" TargetMode="External"/><Relationship Id="rId30" Type="http://schemas.openxmlformats.org/officeDocument/2006/relationships/hyperlink" Target="https://doi.org/10.1162/edfp.2009.4.1.1" TargetMode="External"/><Relationship Id="rId35" Type="http://schemas.openxmlformats.org/officeDocument/2006/relationships/hyperlink" Target="https://www.dpi.nc.gov/data-reports" TargetMode="External"/><Relationship Id="rId43" Type="http://schemas.openxmlformats.org/officeDocument/2006/relationships/hyperlink" Target="http://doi.org/10.1109/TNN.2005.845141"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doi.org/doi:10.25335/bj21-3g32" TargetMode="External"/><Relationship Id="rId17" Type="http://schemas.openxmlformats.org/officeDocument/2006/relationships/hyperlink" Target="https://doi.org/10.2307/2673258" TargetMode="External"/><Relationship Id="rId25" Type="http://schemas.openxmlformats.org/officeDocument/2006/relationships/hyperlink" Target="https://doi.org/10.3368/jhr.44.1.171" TargetMode="External"/><Relationship Id="rId33" Type="http://schemas.openxmlformats.org/officeDocument/2006/relationships/hyperlink" Target="https://doi.org/10.17226/25389" TargetMode="External"/><Relationship Id="rId38" Type="http://schemas.openxmlformats.org/officeDocument/2006/relationships/hyperlink" Target="https://psycnet.apa.org/doi/10.1023/A:1009601517753" TargetMode="External"/><Relationship Id="rId20" Type="http://schemas.openxmlformats.org/officeDocument/2006/relationships/hyperlink" Target="https://doi.org/10.1002/imt2.43" TargetMode="External"/><Relationship Id="rId41" Type="http://schemas.openxmlformats.org/officeDocument/2006/relationships/hyperlink" Target="https://civilrightsdata.ed.gov/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28</Pages>
  <Words>7241</Words>
  <Characters>41278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WU</dc:creator>
  <cp:keywords/>
  <dc:description/>
  <cp:lastModifiedBy>YUE WU</cp:lastModifiedBy>
  <cp:revision>16</cp:revision>
  <dcterms:created xsi:type="dcterms:W3CDTF">2024-11-24T13:57:00Z</dcterms:created>
  <dcterms:modified xsi:type="dcterms:W3CDTF">2024-11-25T20:57:00Z</dcterms:modified>
</cp:coreProperties>
</file>