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3c09704433d6ecdf5c0ceeabefdcf2cb8b9277"/>
    <w:p>
      <w:pPr>
        <w:pStyle w:val="Heading1"/>
      </w:pPr>
      <w:r>
        <w:t xml:space="preserve">Human coding guidelines — ESG performance-metric validation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Produce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reference labels for the 601 classification units of the validation sample. The rule-based classifier is then validated against them.</w:t>
      </w:r>
    </w:p>
    <w:p>
      <w:pPr>
        <w:numPr>
          <w:ilvl w:val="0"/>
          <w:numId w:val="1001"/>
        </w:numPr>
        <w:pStyle w:val="Compact"/>
      </w:pPr>
      <w:r>
        <w:t xml:space="preserve">The sample was drawn under classifier v1.0 after its rules were frozen, and it is</w:t>
      </w:r>
      <w:r>
        <w:t xml:space="preserve"> </w:t>
      </w:r>
      <w:r>
        <w:rPr>
          <w:bCs/>
          <w:b/>
        </w:rPr>
        <w:t xml:space="preserve">never redrawn</w:t>
      </w:r>
      <w:r>
        <w:t xml:space="preserve">. Every later classifier version (currently the one in</w:t>
      </w:r>
      <w:r>
        <w:t xml:space="preserve"> </w:t>
      </w:r>
      <w:r>
        <w:rPr>
          <w:rStyle w:val="VerbatimChar"/>
        </w:rPr>
        <w:t xml:space="preserve">Code/config.py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CLASSIFIER_VERSION</w:t>
      </w:r>
      <w:r>
        <w:t xml:space="preserve">) is scored on this same probability sample.</w:t>
      </w:r>
    </w:p>
    <w:p>
      <w:pPr>
        <w:numPr>
          <w:ilvl w:val="0"/>
          <w:numId w:val="1001"/>
        </w:numPr>
        <w:pStyle w:val="Compact"/>
      </w:pPr>
      <w:r>
        <w:t xml:space="preserve">Step 13 also scores v1.0's predictions, so the two versions can be compared.</w:t>
      </w:r>
    </w:p>
    <w:p>
      <w:pPr>
        <w:numPr>
          <w:ilvl w:val="0"/>
          <w:numId w:val="1001"/>
        </w:numPr>
        <w:pStyle w:val="Compact"/>
      </w:pPr>
      <w:r>
        <w:t xml:space="preserve">Coders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look at the model labels, the rule files or the answer key (</w:t>
      </w:r>
      <w:r>
        <w:rPr>
          <w:rStyle w:val="VerbatimChar"/>
        </w:rPr>
        <w:t xml:space="preserve">validation_sample_v1.0_KEY_local.csv</w:t>
      </w:r>
      <w:r>
        <w:t xml:space="preserve">) before submitting their labels.</w:t>
      </w:r>
    </w:p>
    <w:bookmarkStart w:id="20" w:name="files"/>
    <w:p>
      <w:pPr>
        <w:pStyle w:val="Heading2"/>
      </w:pPr>
      <w:r>
        <w:t xml:space="preserve">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validation_coding_sheet_v1.0_coder1_local.csv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..._coder2_local.csv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 sheets: one row per unit (metric label + representative</w:t>
            </w:r>
            <w:r>
              <w:t xml:space="preserve"> </w:t>
            </w:r>
            <w:r>
              <w:rPr>
                <w:rStyle w:val="VerbatimChar"/>
              </w:rPr>
              <w:t xml:space="preserve">metricOther</w:t>
            </w:r>
            <w:r>
              <w:t xml:space="preserve"> </w:t>
            </w:r>
            <w:r>
              <w:t xml:space="preserve">text, years and number of firms). Created once and never overwritten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human_labels/coder1_labels.csv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human_labels/coder2_labels.csv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each completed sheet here.</w:t>
            </w:r>
            <w:r>
              <w:t xml:space="preserve"> </w:t>
            </w:r>
            <w:r>
              <w:rPr>
                <w:bCs/>
                <w:b/>
              </w:rPr>
              <w:t xml:space="preserve">Keep the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sample_id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column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text_id</w:t>
            </w:r>
            <w:r>
              <w:t xml:space="preserve"> </w:t>
            </w:r>
            <w:r>
              <w:t xml:space="preserve">printed on the sheet is also accepted)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human_labels/adjudication_sheet_local.csv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by Step 13 once both coder files exist. Agreements are pre-filled; the cells of disagreements are empty and marked</w:t>
            </w:r>
            <w:r>
              <w:t xml:space="preserve"> </w:t>
            </w:r>
            <w:r>
              <w:rPr>
                <w:rStyle w:val="VerbatimChar"/>
              </w:rPr>
              <w:t xml:space="preserve">disagree_*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human_labels/adjudicated_labels.csv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labels after a third person resolves the disagreements. Columns: an identifier (</w:t>
            </w:r>
            <w:r>
              <w:rPr>
                <w:rStyle w:val="VerbatimChar"/>
              </w:rPr>
              <w:t xml:space="preserve">sample_id</w:t>
            </w:r>
            <w:r>
              <w:t xml:space="preserve"> </w:t>
            </w:r>
            <w:r>
              <w:t xml:space="preserve">preferred;</w:t>
            </w:r>
            <w:r>
              <w:t xml:space="preserve"> </w:t>
            </w:r>
            <w:r>
              <w:rPr>
                <w:rStyle w:val="VerbatimChar"/>
              </w:rPr>
              <w:t xml:space="preserve">text_key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text_id</w:t>
            </w:r>
            <w:r>
              <w:t xml:space="preserve"> </w:t>
            </w:r>
            <w:r>
              <w:t xml:space="preserve">also accepted) +</w:t>
            </w:r>
            <w:r>
              <w:t xml:space="preserve"> </w:t>
            </w:r>
            <w:r>
              <w:rPr>
                <w:rStyle w:val="VerbatimChar"/>
              </w:rPr>
              <w:t xml:space="preserve">human_esg_strict, human_esg_extended, human_esg_e, human_esg_s, human_esg_g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reviewer, review_date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human_review_queue_&lt;version&gt;_local.csv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part of validation.</w:t>
            </w:r>
            <w:r>
              <w:t xml:space="preserve"> </w:t>
            </w:r>
            <w:r>
              <w:t xml:space="preserve">Frequent unresolved or flagged texts to review when improving the rules. Confirmed labels may be added to</w:t>
            </w:r>
            <w:r>
              <w:t xml:space="preserve"> </w:t>
            </w:r>
            <w:r>
              <w:rPr>
                <w:rStyle w:val="VerbatimChar"/>
              </w:rPr>
              <w:t xml:space="preserve">adjudicated_labels.csv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text_key</w:t>
            </w:r>
          </w:p>
        </w:tc>
      </w:tr>
    </w:tbl>
    <w:p>
      <w:pPr>
        <w:pStyle w:val="BodyText"/>
      </w:pPr>
      <w:r>
        <w:rPr>
          <w:bCs/>
          <w:b/>
        </w:rPr>
        <w:t xml:space="preserve">Identifiers.</w:t>
      </w:r>
      <w:r>
        <w:t xml:space="preserve"> </w:t>
      </w:r>
      <w:r>
        <w:t xml:space="preserve">Every identifier is mapped to the stable</w:t>
      </w:r>
      <w:r>
        <w:t xml:space="preserve"> </w:t>
      </w:r>
      <w:r>
        <w:rPr>
          <w:rStyle w:val="VerbatimChar"/>
        </w:rPr>
        <w:t xml:space="preserve">text_key</w:t>
      </w:r>
      <w:r>
        <w:t xml:space="preserve">, so a label stays attached to its text even if the classifier changes. The loader accepts, per row: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sample_id</w:t>
      </w:r>
      <w:r>
        <w:t xml:space="preserve"> </w:t>
      </w:r>
      <w:r>
        <w:t xml:space="preserve">(V0001 …);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text_key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text_id</w:t>
      </w:r>
      <w:r>
        <w:t xml:space="preserve"> </w:t>
      </w:r>
      <w:r>
        <w:t xml:space="preserve">(T + 10 hex digits);</w:t>
      </w:r>
    </w:p>
    <w:p>
      <w:pPr>
        <w:numPr>
          <w:ilvl w:val="0"/>
          <w:numId w:val="1002"/>
        </w:numPr>
        <w:pStyle w:val="Compact"/>
      </w:pPr>
      <w:r>
        <w:t xml:space="preserve">the v1.0 sheet</w:t>
      </w:r>
      <w:r>
        <w:t xml:space="preserve"> </w:t>
      </w:r>
      <w:r>
        <w:rPr>
          <w:rStyle w:val="VerbatimChar"/>
        </w:rPr>
        <w:t xml:space="preserve">text_id</w:t>
      </w:r>
      <w:r>
        <w:t xml:space="preserve"> </w:t>
      </w:r>
      <w:r>
        <w:t xml:space="preserve">(T + 6 digits).</w:t>
      </w:r>
    </w:p>
    <w:p>
      <w:pPr>
        <w:pStyle w:val="FirstParagraph"/>
      </w:pPr>
      <w:r>
        <w:t xml:space="preserve">A row that matches no text stops the pipeline with an error.</w:t>
      </w:r>
    </w:p>
    <w:bookmarkEnd w:id="20"/>
    <w:bookmarkStart w:id="21" w:name="coding-values"/>
    <w:p>
      <w:pPr>
        <w:pStyle w:val="Heading2"/>
      </w:pPr>
      <w:r>
        <w:t xml:space="preserve">Coding values</w:t>
      </w:r>
    </w:p>
    <w:p>
      <w:pPr>
        <w:pStyle w:val="FirstParagraph"/>
      </w:pPr>
      <w:r>
        <w:t xml:space="preserve">For each label, enter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1</w:t>
      </w:r>
      <w:r>
        <w:t xml:space="preserve">: the text gives enough evidence that this is the case.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</w:t>
      </w:r>
      <w:r>
        <w:t xml:space="preserve">: the text gives enough evidence that it is not.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</w:t>
      </w:r>
      <w:r>
        <w:t xml:space="preserve">: the text is insufficient to decide.</w:t>
      </w:r>
    </w:p>
    <w:p>
      <w:pPr>
        <w:pStyle w:val="FirstParagraph"/>
      </w:pPr>
      <w:r>
        <w:t xml:space="preserve">Blank cells count as</w:t>
      </w:r>
      <w:r>
        <w:t xml:space="preserve"> </w:t>
      </w:r>
      <w:r>
        <w:rPr>
          <w:rStyle w:val="VerbatimChar"/>
        </w:rPr>
        <w:t xml:space="preserve">U</w:t>
      </w:r>
      <w:r>
        <w:t xml:space="preserve">; any other value is rejected.</w:t>
      </w:r>
      <w:r>
        <w:t xml:space="preserve"> </w:t>
      </w:r>
      <w:r>
        <w:rPr>
          <w:rStyle w:val="VerbatimChar"/>
        </w:rPr>
        <w:t xml:space="preserve">h_confidence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low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h_notes</w:t>
      </w:r>
      <w:r>
        <w:t xml:space="preserve"> </w:t>
      </w:r>
      <w:r>
        <w:t xml:space="preserve">for the reason in any non-obvious case.</w:t>
      </w:r>
    </w:p>
    <w:p>
      <w:pPr>
        <w:pStyle w:val="BodyText"/>
      </w:pPr>
      <w:r>
        <w:t xml:space="preserve">Code</w:t>
      </w:r>
      <w:r>
        <w:t xml:space="preserve"> </w:t>
      </w:r>
      <w:r>
        <w:rPr>
          <w:bCs/>
          <w:b/>
        </w:rPr>
        <w:t xml:space="preserve">the performance condition described by the text</w:t>
      </w:r>
      <w:r>
        <w:t xml:space="preserve">. Do not code the company, its industry, or what you believe the firm intended.</w:t>
      </w:r>
    </w:p>
    <w:p>
      <w:pPr>
        <w:pStyle w:val="BodyText"/>
      </w:pPr>
      <w:r>
        <w:rPr>
          <w:bCs/>
          <w:b/>
        </w:rPr>
        <w:t xml:space="preserve">Consistency rules.</w:t>
      </w:r>
      <w:r>
        <w:t xml:space="preserve"> </w:t>
      </w:r>
      <w:r>
        <w:t xml:space="preserve">These follow from the definitions and are applied automatically when labels are loaded: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= 1 ⇒ Extended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is set 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 = 0 ⇒ Strict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is set to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= 0 ⇒ E = S = G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cells may be left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= U ⇒ E, S, G =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cells may be left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= 1 ⇒ pillars as 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 pillar = 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E, S or G = 1 while Strict ≠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Error.</w:t>
            </w:r>
            <w:r>
              <w:t xml:space="preserve"> </w:t>
            </w:r>
            <w:r>
              <w:t xml:space="preserve">Stops the run and lists the rows, because it is contradictory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= 1 with E = S = G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Error.</w:t>
            </w:r>
            <w:r>
              <w:t xml:space="preserve"> </w:t>
            </w:r>
            <w:r>
              <w:t xml:space="preserve">Stops the run and lists the rows</w:t>
            </w:r>
          </w:p>
        </w:tc>
      </w:tr>
    </w:tbl>
    <w:p>
      <w:pPr>
        <w:pStyle w:val="BodyText"/>
      </w:pPr>
      <w:r>
        <w:t xml:space="preserve">Every automatic fix is counted in</w:t>
      </w:r>
      <w:r>
        <w:t xml:space="preserve"> </w:t>
      </w:r>
      <w:r>
        <w:rPr>
          <w:rStyle w:val="VerbatimChar"/>
        </w:rPr>
        <w:t xml:space="preserve">Logs/06_dataset_A_text_dictionary.log</w:t>
      </w:r>
      <w:r>
        <w:t xml:space="preserve">.</w:t>
      </w:r>
    </w:p>
    <w:bookmarkEnd w:id="21"/>
    <w:bookmarkStart w:id="22" w:name="Xa43c4f9ab79709523540e74c6426b6c0f1bf350"/>
    <w:p>
      <w:pPr>
        <w:pStyle w:val="Heading2"/>
      </w:pPr>
      <w:r>
        <w:t xml:space="preserve">Definitions (identical to the classifier's construct)</w:t>
      </w:r>
    </w:p>
    <w:p>
      <w:pPr>
        <w:pStyle w:val="FirstParagraph"/>
      </w:pPr>
      <w:r>
        <w:rPr>
          <w:bCs/>
          <w:b/>
        </w:rPr>
        <w:t xml:space="preserve">Strict ESG = 1</w:t>
      </w:r>
      <w:r>
        <w:t xml:space="preserve"> </w:t>
      </w:r>
      <w:r>
        <w:t xml:space="preserve">if the metric is an explicitly environmental, social or governance performance condition.</w:t>
      </w:r>
    </w:p>
    <w:p>
      <w:pPr>
        <w:pStyle w:val="BodyText"/>
      </w:pPr>
      <w:r>
        <w:rPr>
          <w:bCs/>
          <w:b/>
        </w:rPr>
        <w:t xml:space="preserve">Environmental (E):</w:t>
      </w:r>
    </w:p>
    <w:p>
      <w:pPr>
        <w:numPr>
          <w:ilvl w:val="0"/>
          <w:numId w:val="1004"/>
        </w:numPr>
        <w:pStyle w:val="Compact"/>
      </w:pPr>
      <w:r>
        <w:t xml:space="preserve">GHG / carbon / methane emissions and intensity, science-based targets</w:t>
      </w:r>
    </w:p>
    <w:p>
      <w:pPr>
        <w:numPr>
          <w:ilvl w:val="0"/>
          <w:numId w:val="1004"/>
        </w:numPr>
        <w:pStyle w:val="Compact"/>
      </w:pPr>
      <w:r>
        <w:t xml:space="preserve">Climate targets or policies</w:t>
      </w:r>
    </w:p>
    <w:p>
      <w:pPr>
        <w:numPr>
          <w:ilvl w:val="0"/>
          <w:numId w:val="1004"/>
        </w:numPr>
        <w:pStyle w:val="Compact"/>
      </w:pPr>
      <w:r>
        <w:t xml:space="preserve">Air pollutants, spills and releases, coal ash</w:t>
      </w:r>
    </w:p>
    <w:p>
      <w:pPr>
        <w:numPr>
          <w:ilvl w:val="0"/>
          <w:numId w:val="1004"/>
        </w:numPr>
        <w:pStyle w:val="Compact"/>
      </w:pPr>
      <w:r>
        <w:t xml:space="preserve">Environmental compliance, incidents or violations</w:t>
      </w:r>
    </w:p>
    <w:p>
      <w:pPr>
        <w:numPr>
          <w:ilvl w:val="0"/>
          <w:numId w:val="1004"/>
        </w:numPr>
        <w:pStyle w:val="Compact"/>
      </w:pPr>
      <w:r>
        <w:t xml:space="preserve">Waste, recycling, plastics</w:t>
      </w:r>
    </w:p>
    <w:p>
      <w:pPr>
        <w:numPr>
          <w:ilvl w:val="0"/>
          <w:numId w:val="1004"/>
        </w:numPr>
        <w:pStyle w:val="Compact"/>
      </w:pPr>
      <w:r>
        <w:t xml:space="preserve">Water use and water quality</w:t>
      </w:r>
    </w:p>
    <w:p>
      <w:pPr>
        <w:numPr>
          <w:ilvl w:val="0"/>
          <w:numId w:val="1004"/>
        </w:numPr>
        <w:pStyle w:val="Compact"/>
      </w:pPr>
      <w:r>
        <w:t xml:space="preserve">Biodiversity, land reclamation</w:t>
      </w:r>
    </w:p>
    <w:p>
      <w:pPr>
        <w:numPr>
          <w:ilvl w:val="0"/>
          <w:numId w:val="1004"/>
        </w:numPr>
        <w:pStyle w:val="Compact"/>
      </w:pPr>
      <w:r>
        <w:t xml:space="preserve">Renewable or low-carbon energy</w:t>
      </w:r>
      <w:r>
        <w:t xml:space="preserve"> </w:t>
      </w:r>
      <w:r>
        <w:rPr>
          <w:iCs/>
          <w:i/>
        </w:rPr>
        <w:t xml:space="preserve">adoption</w:t>
      </w:r>
    </w:p>
    <w:p>
      <w:pPr>
        <w:numPr>
          <w:ilvl w:val="0"/>
          <w:numId w:val="1004"/>
        </w:numPr>
        <w:pStyle w:val="Compact"/>
      </w:pPr>
      <w:r>
        <w:t xml:space="preserve">Energy-use reduction, but only when the text gives an environmental rationale</w:t>
      </w:r>
    </w:p>
    <w:p>
      <w:pPr>
        <w:pStyle w:val="FirstParagraph"/>
      </w:pPr>
      <w:r>
        <w:rPr>
          <w:bCs/>
          <w:b/>
        </w:rPr>
        <w:t xml:space="preserve">Social (S):</w:t>
      </w:r>
    </w:p>
    <w:p>
      <w:pPr>
        <w:numPr>
          <w:ilvl w:val="0"/>
          <w:numId w:val="1005"/>
        </w:numPr>
        <w:pStyle w:val="Compact"/>
      </w:pPr>
      <w:r>
        <w:t xml:space="preserve">Occupational, process and public safety: TRIR, DART, lost time, fatalities, vehicle accidents, near misses, HSE / EHS, loss of containment, worker radiation exposure, workers' compensation claims</w:t>
      </w:r>
    </w:p>
    <w:p>
      <w:pPr>
        <w:numPr>
          <w:ilvl w:val="0"/>
          <w:numId w:val="1005"/>
        </w:numPr>
        <w:pStyle w:val="Compact"/>
      </w:pPr>
      <w:r>
        <w:t xml:space="preserve">Diversity, equity and inclusion, including supplier diversity and health equity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Specific</w:t>
      </w:r>
      <w:r>
        <w:t xml:space="preserve"> </w:t>
      </w:r>
      <w:r>
        <w:t xml:space="preserve">employee engagement, satisfaction, retention, turnover, training/development, wellbeing, work environment</w:t>
      </w:r>
    </w:p>
    <w:p>
      <w:pPr>
        <w:numPr>
          <w:ilvl w:val="0"/>
          <w:numId w:val="1005"/>
        </w:numPr>
        <w:pStyle w:val="Compact"/>
      </w:pPr>
      <w:r>
        <w:t xml:space="preserve">Human rights, labour standards, animal welfare</w:t>
      </w:r>
    </w:p>
    <w:p>
      <w:pPr>
        <w:numPr>
          <w:ilvl w:val="0"/>
          <w:numId w:val="1005"/>
        </w:numPr>
        <w:pStyle w:val="Compact"/>
      </w:pPr>
      <w:r>
        <w:t xml:space="preserve">Community investment, volunteering, philanthropy</w:t>
      </w:r>
    </w:p>
    <w:p>
      <w:pPr>
        <w:numPr>
          <w:ilvl w:val="0"/>
          <w:numId w:val="1005"/>
        </w:numPr>
        <w:pStyle w:val="Compact"/>
      </w:pPr>
      <w:r>
        <w:t xml:space="preserve">Clearly defined social-access mission goals, e.g. affordable-housing goals, financial inclusion, Community Reinvestment Act results</w:t>
      </w:r>
    </w:p>
    <w:p>
      <w:pPr>
        <w:pStyle w:val="FirstParagraph"/>
      </w:pPr>
      <w:r>
        <w:rPr>
          <w:bCs/>
          <w:b/>
        </w:rPr>
        <w:t xml:space="preserve">Governance (G):</w:t>
      </w:r>
      <w:r>
        <w:t xml:space="preserve"> </w:t>
      </w:r>
      <w:r>
        <w:t xml:space="preserve">specific governance content only.</w:t>
      </w:r>
    </w:p>
    <w:p>
      <w:pPr>
        <w:numPr>
          <w:ilvl w:val="0"/>
          <w:numId w:val="1006"/>
        </w:numPr>
        <w:pStyle w:val="Compact"/>
      </w:pPr>
      <w:r>
        <w:t xml:space="preserve">Business ethics, code of conduct, anti-corruption / bribery, whistle-blowing</w:t>
      </w:r>
    </w:p>
    <w:p>
      <w:pPr>
        <w:numPr>
          <w:ilvl w:val="0"/>
          <w:numId w:val="1006"/>
        </w:numPr>
        <w:pStyle w:val="Compact"/>
      </w:pPr>
      <w:r>
        <w:t xml:space="preserve">Corporate governance, board composition / diversity / evaluation / board-governance processes, shareholder rights, say-on-pay, governance ratings</w:t>
      </w:r>
    </w:p>
    <w:p>
      <w:pPr>
        <w:numPr>
          <w:ilvl w:val="0"/>
          <w:numId w:val="1006"/>
        </w:numPr>
        <w:pStyle w:val="Compact"/>
      </w:pPr>
      <w:r>
        <w:t xml:space="preserve">Bare "governance"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enough. It can mean portfolio, project or data governance, so code it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General ESG:</w:t>
      </w:r>
      <w:r>
        <w:t xml:space="preserve"> </w:t>
      </w:r>
      <w:r>
        <w:t xml:space="preserve">"ESG", "CSR", "sustainability", ESG ratings (DJSI, GRESB …). Code Strict = 1. Code E/S/G =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unless a specific pillar is named.</w:t>
      </w:r>
    </w:p>
    <w:p>
      <w:pPr>
        <w:pStyle w:val="BodyText"/>
      </w:pPr>
      <w:r>
        <w:rPr>
          <w:bCs/>
          <w:b/>
        </w:rPr>
        <w:t xml:space="preserve">Extended ESG = 1</w:t>
      </w:r>
      <w:r>
        <w:t xml:space="preserve"> </w:t>
      </w:r>
      <w:r>
        <w:t xml:space="preserve">if Strict = 1,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the metric is an explicit stakeholder condition:</w:t>
      </w:r>
    </w:p>
    <w:p>
      <w:pPr>
        <w:numPr>
          <w:ilvl w:val="0"/>
          <w:numId w:val="1007"/>
        </w:numPr>
        <w:pStyle w:val="Compact"/>
      </w:pPr>
      <w:r>
        <w:t xml:space="preserve">Customer / client / patient satisfaction, experience, engagement, retention, complaints, NPS. Customer engagement is Extended, not employee engagement.</w:t>
      </w:r>
    </w:p>
    <w:p>
      <w:pPr>
        <w:numPr>
          <w:ilvl w:val="0"/>
          <w:numId w:val="1007"/>
        </w:numPr>
        <w:pStyle w:val="Compact"/>
      </w:pPr>
      <w:r>
        <w:t xml:space="preserve">Product, food or patient safety and product quality</w:t>
      </w:r>
    </w:p>
    <w:p>
      <w:pPr>
        <w:numPr>
          <w:ilvl w:val="0"/>
          <w:numId w:val="1007"/>
        </w:numPr>
        <w:pStyle w:val="Compact"/>
      </w:pPr>
      <w:r>
        <w:t xml:space="preserve">Healthcare quality-of-care measures, e.g. Medicare STARS</w:t>
      </w:r>
    </w:p>
    <w:p>
      <w:pPr>
        <w:numPr>
          <w:ilvl w:val="0"/>
          <w:numId w:val="1007"/>
        </w:numPr>
        <w:pStyle w:val="Compact"/>
      </w:pPr>
      <w:r>
        <w:t xml:space="preserve">Data privacy, fair lending, affordability for customers</w:t>
      </w:r>
    </w:p>
    <w:p>
      <w:pPr>
        <w:numPr>
          <w:ilvl w:val="0"/>
          <w:numId w:val="1007"/>
        </w:numPr>
        <w:pStyle w:val="Compact"/>
      </w:pPr>
      <w:r>
        <w:t xml:space="preserve">Utility service reliability to customers (SAIDI / SAIFI / outage duration)</w:t>
      </w:r>
    </w:p>
    <w:p>
      <w:pPr>
        <w:numPr>
          <w:ilvl w:val="0"/>
          <w:numId w:val="1007"/>
        </w:numPr>
        <w:pStyle w:val="Compact"/>
      </w:pPr>
      <w:r>
        <w:t xml:space="preserve">Community or stakeholder engagement without a defined welfare outcome</w:t>
      </w:r>
    </w:p>
    <w:p>
      <w:pPr>
        <w:pStyle w:val="FirstParagraph"/>
      </w:pPr>
      <w:r>
        <w:rPr>
          <w:bCs/>
          <w:b/>
        </w:rPr>
        <w:t xml:space="preserve">Code 0 (not ESG) for:</w:t>
      </w:r>
    </w:p>
    <w:p>
      <w:pPr>
        <w:numPr>
          <w:ilvl w:val="0"/>
          <w:numId w:val="1008"/>
        </w:numPr>
        <w:pStyle w:val="Compact"/>
      </w:pPr>
      <w:r>
        <w:t xml:space="preserve">Financial, market and operating metrics: EPS, EBITDA, revenue, TSR, cost reduction, production, efficiency, "Operational Excellence" with a financial meaning</w:t>
      </w:r>
    </w:p>
    <w:p>
      <w:pPr>
        <w:numPr>
          <w:ilvl w:val="0"/>
          <w:numId w:val="1008"/>
        </w:numPr>
        <w:pStyle w:val="Compact"/>
      </w:pPr>
      <w:r>
        <w:t xml:space="preserve">Product development and regulatory approvals, e.g. FDA submissions</w:t>
      </w:r>
    </w:p>
    <w:p>
      <w:pPr>
        <w:numPr>
          <w:ilvl w:val="0"/>
          <w:numId w:val="1008"/>
        </w:numPr>
        <w:pStyle w:val="Compact"/>
      </w:pPr>
      <w:r>
        <w:t xml:space="preserve">Bank "safety and soundness"; clinical "safety and efficacy" data; insurance "accident-year combined ratio"</w:t>
      </w:r>
    </w:p>
    <w:p>
      <w:pPr>
        <w:numPr>
          <w:ilvl w:val="0"/>
          <w:numId w:val="1008"/>
        </w:numPr>
        <w:pStyle w:val="Compact"/>
      </w:pPr>
      <w:r>
        <w:t xml:space="preserve">Generic compliance, risk management, internal controls, SOX, audit, cybersecurity</w:t>
      </w:r>
    </w:p>
    <w:p>
      <w:pPr>
        <w:numPr>
          <w:ilvl w:val="0"/>
          <w:numId w:val="1008"/>
        </w:numPr>
        <w:pStyle w:val="Compact"/>
      </w:pPr>
      <w:r>
        <w:t xml:space="preserve">Generic talent management, succession planning, leadership development, culture, hiring, collective bargaining</w:t>
      </w:r>
    </w:p>
    <w:p>
      <w:pPr>
        <w:numPr>
          <w:ilvl w:val="0"/>
          <w:numId w:val="1008"/>
        </w:numPr>
        <w:pStyle w:val="Compact"/>
      </w:pPr>
      <w:r>
        <w:t xml:space="preserve">Government relations / public affairs / lobbying</w:t>
      </w:r>
    </w:p>
    <w:p>
      <w:pPr>
        <w:numPr>
          <w:ilvl w:val="0"/>
          <w:numId w:val="1008"/>
        </w:numPr>
        <w:pStyle w:val="Compact"/>
      </w:pPr>
      <w:r>
        <w:t xml:space="preserve">ESG</w:t>
      </w:r>
      <w:r>
        <w:t xml:space="preserve"> </w:t>
      </w:r>
      <w:r>
        <w:rPr>
          <w:iCs/>
          <w:i/>
        </w:rPr>
        <w:t xml:space="preserve">business lines</w:t>
      </w:r>
      <w:r>
        <w:t xml:space="preserve">, e.g. sales of ESG funds or ESG-dedicated assets under management</w:t>
      </w:r>
    </w:p>
    <w:p>
      <w:pPr>
        <w:numPr>
          <w:ilvl w:val="0"/>
          <w:numId w:val="1008"/>
        </w:numPr>
        <w:pStyle w:val="Compact"/>
      </w:pPr>
      <w:r>
        <w:t xml:space="preserve">Renewable-energy project execution or portfolio growth, i.e. a business line</w:t>
      </w:r>
    </w:p>
    <w:p>
      <w:pPr>
        <w:numPr>
          <w:ilvl w:val="0"/>
          <w:numId w:val="1008"/>
        </w:numPr>
        <w:pStyle w:val="Compact"/>
      </w:pPr>
      <w:r>
        <w:t xml:space="preserve">Company or segment names that happen to contain ESG words, e.g. "Clean Energy Businesses EBITDA", "Peoples Gas", "Diversey"</w:t>
      </w:r>
    </w:p>
    <w:p>
      <w:pPr>
        <w:numPr>
          <w:ilvl w:val="0"/>
          <w:numId w:val="1008"/>
        </w:numPr>
        <w:pStyle w:val="Compact"/>
      </w:pPr>
      <w:r>
        <w:t xml:space="preserve">"Satisfaction of" in the sense of</w:t>
      </w:r>
      <w:r>
        <w:t xml:space="preserve"> </w:t>
      </w:r>
      <w:r>
        <w:rPr>
          <w:iCs/>
          <w:i/>
        </w:rPr>
        <w:t xml:space="preserve">fulfilment</w:t>
      </w:r>
      <w:r>
        <w:t xml:space="preserve">, e.g. "satisfaction of strategic sales goals"</w:t>
      </w:r>
    </w:p>
    <w:p>
      <w:pPr>
        <w:pStyle w:val="FirstParagraph"/>
      </w:pPr>
      <w:r>
        <w:rPr>
          <w:bCs/>
          <w:b/>
        </w:rPr>
        <w:t xml:space="preserve">Code U (unknown) for:</w:t>
      </w:r>
    </w:p>
    <w:p>
      <w:pPr>
        <w:numPr>
          <w:ilvl w:val="0"/>
          <w:numId w:val="1009"/>
        </w:numPr>
        <w:pStyle w:val="Compact"/>
      </w:pPr>
      <w:r>
        <w:t xml:space="preserve">Placeholders: Individual Performance, Strategic Objectives, Corporate Goals, Discretionary, Non-Financial, Other, Leadership (alone), Operational Goals, Scorecard</w:t>
      </w:r>
    </w:p>
    <w:p>
      <w:pPr>
        <w:numPr>
          <w:ilvl w:val="0"/>
          <w:numId w:val="1009"/>
        </w:numPr>
        <w:pStyle w:val="Compact"/>
      </w:pPr>
      <w:r>
        <w:t xml:space="preserve">Texts too ambiguous to decide: "Water", "Energy Efficiency" with no environmental context, "Integrity", bare "Governance", "Notices of Violation" with no environmental context</w:t>
      </w:r>
    </w:p>
    <w:p>
      <w:pPr>
        <w:numPr>
          <w:ilvl w:val="0"/>
          <w:numId w:val="1009"/>
        </w:numPr>
        <w:pStyle w:val="Compact"/>
      </w:pPr>
      <w:r>
        <w:t xml:space="preserve">A blank text with a placeholder label</w:t>
      </w:r>
    </w:p>
    <w:p>
      <w:pPr>
        <w:pStyle w:val="FirstParagraph"/>
      </w:pPr>
      <w:r>
        <w:rPr>
          <w:bCs/>
          <w:b/>
        </w:rPr>
        <w:t xml:space="preserve">Mixed texts: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component of the text is an ESG condition (e.g. "EPS and Safety"), code Strict = 1.</w:t>
      </w:r>
    </w:p>
    <w:bookmarkEnd w:id="22"/>
    <w:bookmarkStart w:id="23" w:name="process"/>
    <w:p>
      <w:pPr>
        <w:pStyle w:val="Heading2"/>
      </w:pPr>
      <w:r>
        <w:t xml:space="preserve">Process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Code independently.</w:t>
      </w:r>
      <w:r>
        <w:t xml:space="preserve"> </w:t>
      </w:r>
      <w:r>
        <w:t xml:space="preserve">Two coders code independently and fill the</w:t>
      </w:r>
      <w:r>
        <w:t xml:space="preserve"> </w:t>
      </w:r>
      <w:r>
        <w:rPr>
          <w:rStyle w:val="VerbatimChar"/>
        </w:rPr>
        <w:t xml:space="preserve">coder_id</w:t>
      </w:r>
      <w:r>
        <w:t xml:space="preserve"> </w:t>
      </w:r>
      <w:r>
        <w:t xml:space="preserve">column.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Agreement and adjudication sheet.</w:t>
      </w:r>
      <w:r>
        <w:t xml:space="preserve"> </w:t>
      </w:r>
      <w:r>
        <w:t xml:space="preserve">Save the sheets as</w:t>
      </w:r>
      <w:r>
        <w:t xml:space="preserve"> </w:t>
      </w:r>
      <w:r>
        <w:rPr>
          <w:rStyle w:val="VerbatimChar"/>
        </w:rPr>
        <w:t xml:space="preserve">human_labels/coder1_labels.csv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coder2_labels.csv</w:t>
      </w:r>
      <w:r>
        <w:t xml:space="preserve">, then run: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Code/master_run.py 13</w:t>
      </w:r>
    </w:p>
    <w:p>
      <w:pPr>
        <w:numPr>
          <w:ilvl w:val="0"/>
          <w:numId w:val="1000"/>
        </w:numPr>
      </w:pPr>
      <w:r>
        <w:t xml:space="preserve">Step 13 reports agreement and Cohen's kappa per label (Unknown counts as its own category) and writes</w:t>
      </w:r>
      <w:r>
        <w:t xml:space="preserve"> </w:t>
      </w:r>
      <w:r>
        <w:rPr>
          <w:rStyle w:val="VerbatimChar"/>
        </w:rPr>
        <w:t xml:space="preserve">human_labels/adjudication_sheet_local.csv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Adjudicate.</w:t>
      </w:r>
      <w:r>
        <w:t xml:space="preserve"> </w:t>
      </w:r>
      <w:r>
        <w:t xml:space="preserve">A third reviewer resolves every disagreement and every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conflict. Save the completed sheet as</w:t>
      </w:r>
      <w:r>
        <w:t xml:space="preserve"> </w:t>
      </w:r>
      <w:r>
        <w:rPr>
          <w:rStyle w:val="VerbatimChar"/>
        </w:rPr>
        <w:t xml:space="preserve">human_labels/adjudicated_labels.csv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Apply and score.</w:t>
      </w:r>
      <w:r>
        <w:t xml:space="preserve"> </w:t>
      </w:r>
      <w:r>
        <w:t xml:space="preserve">Run: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Code/master_run.py 06</w:t>
      </w:r>
    </w:p>
    <w:p>
      <w:pPr>
        <w:numPr>
          <w:ilvl w:val="1"/>
          <w:numId w:val="1011"/>
        </w:numPr>
        <w:pStyle w:val="Compact"/>
      </w:pPr>
      <w:r>
        <w:t xml:space="preserve">Step 06 applies the adjudicated labels:</w:t>
      </w:r>
      <w:r>
        <w:t xml:space="preserve"> </w:t>
      </w:r>
      <w:r>
        <w:rPr>
          <w:rStyle w:val="VerbatimChar"/>
        </w:rPr>
        <w:t xml:space="preserve">human_reviewed = 1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confirmed_unknown</w:t>
      </w:r>
      <w:r>
        <w:t xml:space="preserve"> </w:t>
      </w:r>
      <w:r>
        <w:t xml:space="preserve">for a human</w:t>
      </w:r>
      <w:r>
        <w:t xml:space="preserve"> </w:t>
      </w:r>
      <w:r>
        <w:rPr>
          <w:rStyle w:val="VerbatimChar"/>
        </w:rPr>
        <w:t xml:space="preserve">U</w:t>
      </w:r>
      <w:r>
        <w:t xml:space="preserve">). The model's own labels stay in the</w:t>
      </w:r>
      <w:r>
        <w:t xml:space="preserve"> </w:t>
      </w:r>
      <w:r>
        <w:rPr>
          <w:rStyle w:val="VerbatimChar"/>
        </w:rPr>
        <w:t xml:space="preserve">*_model</w:t>
      </w:r>
      <w:r>
        <w:t xml:space="preserve"> </w:t>
      </w:r>
      <w:r>
        <w:t xml:space="preserve">columns.</w:t>
      </w:r>
    </w:p>
    <w:p>
      <w:pPr>
        <w:numPr>
          <w:ilvl w:val="1"/>
          <w:numId w:val="1011"/>
        </w:numPr>
        <w:pStyle w:val="Compact"/>
      </w:pPr>
      <w:r>
        <w:t xml:space="preserve">Steps 07–11 propagate the labels.</w:t>
      </w:r>
    </w:p>
    <w:p>
      <w:pPr>
        <w:numPr>
          <w:ilvl w:val="1"/>
          <w:numId w:val="1011"/>
        </w:numPr>
        <w:pStyle w:val="Compact"/>
      </w:pPr>
      <w:r>
        <w:t xml:space="preserve">Step 13 computes precision, recall, F1, FPR, FNR and the Unknown rate. These are reported for the current version and for v1.0, with stratum weights and stratified bootstrap CIs.</w:t>
      </w:r>
    </w:p>
    <w:p>
      <w:pPr>
        <w:numPr>
          <w:ilvl w:val="1"/>
          <w:numId w:val="1011"/>
        </w:numPr>
        <w:pStyle w:val="Compact"/>
      </w:pPr>
      <w:r>
        <w:t xml:space="preserve">Step 18 regenerates every report.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Never change the sample.</w:t>
      </w:r>
      <w:r>
        <w:t xml:space="preserve"> </w:t>
      </w:r>
      <w:r>
        <w:t xml:space="preserve">It was drawn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v1.0 rules were frozen (rules MD5 is stored in the key file), and it must never be redrawn once coding has started.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2026-10-31T20:55:18Z</dcterms:created>
  <dcterms:modified xsi:type="dcterms:W3CDTF">2026-10-31T20:55:18Z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