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YaHei" w:hAnsi="Calibri"/>
          <w:b/>
          <w:bCs/>
          <w:sz w:val="40"/>
          <w:szCs w:val="40"/>
        </w:rPr>
        <w:t xml:space="preserve">使用指南 — 文本 ESG 高管薪酬数据库</w:t>
      </w:r>
    </w:p>
    <w:p>
      <w:pPr>
        <w:spacing w:after="100"/>
      </w:pPr>
      <w:r>
        <w:rPr>
          <w:rFonts w:ascii="Calibri" w:cs="Calibri" w:eastAsia="Microsoft YaHei" w:hAnsi="Calibri"/>
          <w:i/>
          <w:iCs/>
          <w:color w:val="595959"/>
        </w:rPr>
        <w:t xml:space="preserve">User Guide (Chinese) — classifier v1.1；自动生成，数字随数据更新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10"/>
        <w:gridCol w:w="7028"/>
      </w:tblGrid>
      <w:tr>
        <w:trPr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Classifier version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Generated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2026-10-31 20:55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Git commit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badbbbd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 status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PROVISIONAL</w:t>
            </w:r>
          </w:p>
        </w:tc>
      </w:tr>
      <w:t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Project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ESG_Text_Based_Incentives (ISS Incentive Lab 1998-2021)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1. 一句话说明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本项目把 ISS Incentive Lab 1998–2021 年全部 814,091 条高管绩效目标记录的文字描述，用同一套、不随年份变化的规则判断“是否是 ESG 指标”，再逐层汇总成 KPI、Grant、高管、CEO、非 CEO 和公司-年七个 Stata 数据集；每个数字都能追溯到原始文本和具体规则。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2. 使用前必须知道的五件事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三态标签</w:t>
      </w:r>
      <w:r>
        <w:rPr>
          <w:rFonts w:ascii="Calibri" w:cs="Calibri" w:eastAsia="Microsoft YaHei" w:hAnsi="Calibri"/>
        </w:rPr>
        <w:t xml:space="preserve">：每个 ESG 标签只有 1（是）、0（否）、.（未知）三种取值。0 需要明确的非 ESG 证据（如 EPS、Sales）；找不到 ESG 关键词本身</w:t>
      </w:r>
      <w:r>
        <w:rPr>
          <w:rFonts w:ascii="Calibri" w:cs="Calibri" w:eastAsia="Microsoft YaHei" w:hAnsi="Calibri"/>
          <w:b/>
          <w:bCs/>
        </w:rPr>
        <w:t xml:space="preserve">不等于 0</w:t>
      </w:r>
      <w:r>
        <w:rPr>
          <w:rFonts w:ascii="Calibri" w:cs="Calibri" w:eastAsia="Microsoft YaHei" w:hAnsi="Calibri"/>
        </w:rPr>
        <w:t xml:space="preserve">。分析时绝不能把 . 当作 0。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Strict 与 Extended</w:t>
      </w:r>
      <w:r>
        <w:rPr>
          <w:rFonts w:ascii="Calibri" w:cs="Calibri" w:eastAsia="Microsoft YaHei" w:hAnsi="Calibri"/>
        </w:rPr>
        <w:t xml:space="preserve">：Strict = 明确的环境（E）、社会（S）、治理（G）目标；Extended = Strict + 利益相关者类指标（客户满意度、产品/患者安全、服务可靠性等）。Strict = 1 一定 Extended = 1。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下界 lb / 上界 ub / 覆盖率</w:t>
      </w:r>
      <w:r>
        <w:rPr>
          <w:rFonts w:ascii="Calibri" w:cs="Calibri" w:eastAsia="Microsoft YaHei" w:hAnsi="Calibri"/>
        </w:rPr>
        <w:t xml:space="preserve">：未知的部分按 0 算得到下界 lb，按 1 算得到上界 ub；真实值一定在 [lb, ub] 之间。只有没有任何未知时，才给出“精确”比例。覆盖率 = 已判定部分 / 全部。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ISS 自带的 ESG 分类只做诊断</w:t>
      </w:r>
      <w:r>
        <w:rPr>
          <w:rFonts w:ascii="Calibri" w:cs="Calibri" w:eastAsia="Microsoft YaHei" w:hAnsi="Calibri"/>
        </w:rPr>
        <w:t xml:space="preserve">：ISS 2018 年改了分类体系（新增 Social / Environment / CSR 等），直接使用会制造 2018 年的人为跳升；本项目从不把它作为判断依据，只在 *_diag 变量里保留以便对比。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  <w:b/>
          <w:bCs/>
        </w:rPr>
        <w:t xml:space="preserve">验证状态</w:t>
      </w:r>
      <w:r>
        <w:rPr>
          <w:rFonts w:ascii="Calibri" w:cs="Calibri" w:eastAsia="Microsoft YaHei" w:hAnsi="Calibri"/>
        </w:rPr>
        <w:t xml:space="preserve">：尚未完成。在人工标注返回之前，所有标签都是暂定（Provisional），不报告任何准确率。601 个单元的盲编码样本、编码手册与评分程序均已就绪。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3. 数据从哪里来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4"/>
        <w:gridCol w:w="3815"/>
        <w:gridCol w:w="2209"/>
      </w:tblGrid>
      <w:tr>
        <w:trPr>
          <w:tblHeader/>
        </w:trP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File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Role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6"/>
                <w:szCs w:val="16"/>
              </w:rPr>
              <w:t xml:space="preserve">Rows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08. Grants of Plan-Based Awards Table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grants, award attributes, performance type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469,573 (469,429 distinct grantID)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02. Absolute Performance Goals Data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goal text and payout (absolute goals)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716,130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16. Relative Performance Goals Data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goal text and peer benchmark (relative goals)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89,985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03. Accelerated Performance Goals Data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acceleration conditions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7,976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12. Participant Data by Fiscal Year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identity, title, role codes, currentCEO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474,170</w:t>
            </w:r>
          </w:p>
        </w:tc>
      </w:tr>
      <w:tr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05. Company Data by Fiscal Year</w:t>
            </w:r>
          </w:p>
        </w:tc>
        <w:tc>
          <w:tcPr>
            <w:tcW w:type="dxa" w:w="3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firm-year universe, name, ticker, CUSIP</w:t>
            </w:r>
          </w:p>
        </w:tc>
        <w:tc>
          <w:tcPr>
            <w:tcW w:type="dxa" w:w="22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6"/>
                <w:szCs w:val="16"/>
              </w:rPr>
              <w:t xml:space="preserve">33,328</w:t>
            </w:r>
          </w:p>
        </w:tc>
      </w:tr>
    </w:tbl>
    <w:p/>
    <w:p>
      <w:pPr>
        <w:spacing w:after="100"/>
      </w:pPr>
      <w:r>
        <w:rPr>
          <w:rFonts w:ascii="Calibri" w:cs="Calibri" w:eastAsia="Microsoft YaHei" w:hAnsi="Calibri"/>
        </w:rPr>
        <w:t xml:space="preserve">其余 ISS 文件（持股、董事薪酬、同行、持股要求、顾问等）与本构念无关，未使用。Summary Compensation 文件缺少 participantID，无法与高管链接。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4. 流水线：19 个步骤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8"/>
        <w:gridCol w:w="4618"/>
        <w:gridCol w:w="2812"/>
      </w:tblGrid>
      <w:tr>
        <w:trPr>
          <w:tblHeader/>
        </w:trP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步骤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做什么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主要输出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01 data_inventory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清点 18 个原始文件：行列数、主键重复、缺失编码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Documentation/data_inventory_*.csv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02 extract_paper_dictionary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从论文 PDF 附录 A.3 提取 953 个关键词（逐字、带页码）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Dictionaries/a_*.csv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03 goal_extraction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合并绝对/相对/加速三类目标记录，统一主键，附加 grant 信息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goal_records.parquet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04 text_classification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把文本归一化成“分类单元”，逐个用规则判定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text_units_classified.parquet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05 dictionary_deliverables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规则表、论文关键词逐词审查、新增表达、修改记录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Dictionaries/b_*, c_*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06 dataset_A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文本字典（可用人工裁定覆盖模型标签）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ESG_Text_Dictionary.dta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07 dataset_B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KPI 层与原始目标记录层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ESG_KPI_Master.dta 等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08 dataset_C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Grant 层：业绩型/时间型、ESG 三态、价值、数据完整性标记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ESG_Grant_Master.dta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09–11 datasets D–G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高管-年、CEO-年、公司-年、非 CEO 公司-年汇总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D/E/F/G .dta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12 paper_vs_revised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与论文关键词方法逐单元比较；复现论文表 1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Validation/e_*.csv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13 validation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冻结的盲验证样本、编码表、评分（有人工标签时）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Validation/*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14 annual_trends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年度趋势与 2018 年断点分析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Annual_Analysis/*.csv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15 variable_dictionary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全部变量的定义、分子、分母、缺失含义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variable_dictionary.csv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16 quality_audit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重新读取成品、独立重算并核对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quality_audit_results.csv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17 version_comparison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与上一版本逐层比较；审查发现清单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version_comparison_*, review_findings_*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18 build_reports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生成本指南及全部报告（数字自动来自数据）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Documentation/Reports/*.docx</w:t>
            </w:r>
          </w:p>
        </w:tc>
      </w:tr>
      <w:tr>
        <w:tc>
          <w:tcPr>
            <w:tcW w:type="dxa" w:w="22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19 build_audit_archive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打包代码、日志、文档与 SHA-256 清单</w:t>
            </w:r>
          </w:p>
        </w:tc>
        <w:tc>
          <w:tcPr>
            <w:tcW w:type="dxa" w:w="2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Audit_Archive/*.zip</w:t>
            </w:r>
          </w:p>
        </w:tc>
      </w:tr>
    </w:tbl>
    <w:p/>
    <w:p>
      <w:pPr>
        <w:spacing w:after="100"/>
      </w:pPr>
      <w:r>
        <w:rPr>
          <w:rFonts w:ascii="Calibri" w:cs="Calibri" w:eastAsia="Microsoft YaHei" w:hAnsi="Calibri"/>
        </w:rPr>
        <w:t xml:space="preserve">运行方式：python Code/master_run.py（从头运行）；python Code/master_run.py 06（从第 06 步开始，例如加入人工标签后）。任何一步出错都会停止，不会静默跳过。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5. 分类器如何工作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分类单元</w:t>
      </w:r>
      <w:r>
        <w:rPr>
          <w:rFonts w:ascii="Calibri" w:cs="Calibri" w:eastAsia="Microsoft YaHei" w:hAnsi="Calibri"/>
        </w:rPr>
        <w:t xml:space="preserve">：metric（ISS 标准化标签）与 metricOther（描述文本）一起读；完全相同的文字在所有年份得到相同标签（时间一致性）。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规则</w:t>
      </w:r>
      <w:r>
        <w:rPr>
          <w:rFonts w:ascii="Calibri" w:cs="Calibri" w:eastAsia="Microsoft YaHei" w:hAnsi="Calibri"/>
        </w:rPr>
        <w:t xml:space="preserve">：57 条正则规则按固定顺序执行，每条规则匹配到的文字会被“消费”，后面的规则不能再用它。顺序为：保护短语 → 屏蔽误报 → 定向短语（如 product safety → Extended）→ Strict ESG → Extended → 模糊 → ESG 相邻排除 → 占位描述 → 非 ESG 财务/经营证据 → 填充词。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判定</w:t>
      </w:r>
      <w:r>
        <w:rPr>
          <w:rFonts w:ascii="Calibri" w:cs="Calibri" w:eastAsia="Microsoft YaHei" w:hAnsi="Calibri"/>
        </w:rPr>
        <w:t xml:space="preserve">：有 Strict 规则命中 → 1；否则有模糊或占位命中 → 未知；否则有明确非 ESG / 相邻 / 利益相关者证据 → 0；什么都没命中 → 未知。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E/S/G 维度</w:t>
      </w:r>
      <w:r>
        <w:rPr>
          <w:rFonts w:ascii="Calibri" w:cs="Calibri" w:eastAsia="Microsoft YaHei" w:hAnsi="Calibri"/>
        </w:rPr>
        <w:t xml:space="preserve">：命中某维度的具体规则 → 该维度 1；只出现 ESG / CSR / 可持续 等通用词，或该维度只有模糊词 → 该维度未知。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所有规则、理由、版本修改都在 Dictionaries/b_revised_rules_*.csv；每个单元的命中规则与原因在数据集 A 的 rule_ids、classification_reason。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下表由当前分类器实时计算（通用指标名称示例）：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2007"/>
        <w:gridCol w:w="903"/>
        <w:gridCol w:w="702"/>
        <w:gridCol w:w="803"/>
        <w:gridCol w:w="903"/>
        <w:gridCol w:w="3015"/>
      </w:tblGrid>
      <w:tr>
        <w:trPr>
          <w:tblHeader/>
        </w:trP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metric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metricOther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metricType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Strict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Extended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E/S/G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命中规则（原因）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Safety (TRIR)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0/1/0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R031_S_ohs[ESG]:'Safety'; R031_S_ohs[ESG]:'TRIR'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Reduce greenhouse gas emissions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R023_E_ghg_air[ESG]:'greenhouse'; R023_E_ghg_air[ESG]:'emissions'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Diversity and inclusion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0/1/0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R030_S_dei[ESG]:'Diversity'; R030_S_dei[ESG]:'inclusion'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Corporate governance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0/0/1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R037_G_governance[ESG]:'Corporate governance'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Governance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未知/未知/未知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R050_A_governance_bare[AMB]:'Governance'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Safety and governance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0/1/未知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R031_S_ohs[ESG]:'Safety'; R050_A_governance_bare[AMB]:'governance'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ESG goals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未知/未知/未知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R022_GEN_esg[ESG]:'ESG'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Customer Satisfaction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(空)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L02_custsat_label[EXT]:'Customer Satisfaction'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Customer engagement index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R018_X_customer[EXT]:'Customer engagement'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Regulatory compliance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R051_J_compliance_risk[ADJ]:'compliance'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Succession planning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R052_J_workforce_generic[ADJ]:'Succession'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Other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Energy efficiency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未知/未知/未知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R047_A_energy_efficiency[AMB]:'Energy efficiency'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Individual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Individual performance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未知/未知/未知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R054_U_nonspecific[NONSPEC]:'Individual'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EPS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(空)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L01_fin_label[NONESG]:'EPS'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Cashflow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Free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/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L01_fin_label[NONESG]:'Cashflow'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(空)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(空)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Stock Price</w:t>
            </w:r>
          </w:p>
        </w:tc>
        <w:tc>
          <w:tcPr>
            <w:tcW w:type="dxa" w:w="7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0/0/0</w:t>
            </w:r>
          </w:p>
        </w:tc>
        <w:tc>
          <w:tcPr>
            <w:tcW w:type="dxa" w:w="30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C01_fin_metrictype[NONESG]:'Stock Price'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6. 七个数据集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007"/>
        <w:gridCol w:w="2007"/>
        <w:gridCol w:w="1003"/>
        <w:gridCol w:w="2212"/>
      </w:tblGrid>
      <w:tr>
        <w:trPr>
          <w:tblHeader/>
        </w:trP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文件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一行是什么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主键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观测数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5"/>
                <w:szCs w:val="15"/>
              </w:rPr>
              <w:t xml:space="preserve">最常用变量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ESG_Text_Dictionary.dta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A：一个分类单元（唯一文本）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text_id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38,590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esg_strict, esg_extended, esg_e/s/g, classification_reason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ESG_KPI_Master.dta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B：一个 grant 中的一个指标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kpi_id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654,123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kpi_esg_strict, kpi_esg_extended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ESG_Goal_Record_Classification.dta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B 附：原始目标记录（指标 × 考核期）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goal_record_id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814,091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esg_strict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ESG_Grant_Master.dta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C：一个 grant（奖励）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grantid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469,429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grant_is_perf, grant_esg_strict, grant_esg_share_lb/ub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ESG_Executive_Firm_Year.dta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D：高管-公司-年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cik+fiscalyear+participantid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164,832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exec_perf_esg_adopt_strict, exec_esg_perf_share_lb/ub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ESG_CEO_Firm_Year.dta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E：CEO-公司-年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cik+fiscalyear+participantid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33,278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ceo_strict_sample, ceo_perf_esg_adopt_strict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ESG_Firm_Year_Master.dta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F：公司-年（ISS 全部公司-年）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cik+fiscalyear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33,328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firm_perf_esg_adopt_strict, firm_esg_[e|s|g]_adopt</w:t>
            </w:r>
          </w:p>
        </w:tc>
      </w:tr>
      <w:tr>
        <w:tc>
          <w:tcPr>
            <w:tcW w:type="dxa" w:w="24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ESG_NonCEO_Firm_Year.dta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G：非 CEO 高管汇总到公司-年</w:t>
            </w:r>
          </w:p>
        </w:tc>
        <w:tc>
          <w:tcPr>
            <w:tcW w:type="dxa" w:w="20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cik+fiscalyear</w:t>
            </w:r>
          </w:p>
        </w:tc>
        <w:tc>
          <w:tcPr>
            <w:tcW w:type="dxa" w:w="10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31,944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5"/>
                <w:szCs w:val="15"/>
              </w:rPr>
              <w:t xml:space="preserve">nonceo_perf_esg_adopt_strict</w:t>
            </w:r>
          </w:p>
        </w:tc>
      </w:tr>
    </w:tbl>
    <w:p/>
    <w:p>
      <w:pPr>
        <w:spacing w:after="100"/>
      </w:pPr>
      <w:r>
        <w:rPr>
          <w:rFonts w:ascii="Calibri" w:cs="Calibri" w:eastAsia="Microsoft YaHei" w:hAnsi="Calibri"/>
        </w:rPr>
        <w:t xml:space="preserve">合并方式：D、E 与 F 通过 (cik, fiscalyear) 合并；C 通过 (cik, fiscalyear, participantid) 汇总到 D；B 通过 grantid 汇总到 C；B 通过 text_id 连接 A。每个变量的精确定义见 Documentation/variable_dictionary.csv。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7. 如何读 lb / ub：一个虚构的例子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（以下公司与数字均为虚构，仅用于说明计算方法。）某 CEO 某年有 3 个业绩型 grant：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5"/>
        <w:gridCol w:w="3614"/>
        <w:gridCol w:w="2710"/>
        <w:gridCol w:w="2009"/>
      </w:tblGrid>
      <w:tr>
        <w:trPr>
          <w:tblHeader/>
        </w:trP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Grant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包含的指标（KPI）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各 KPI 的 Strict 标签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Grant ESG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G1 年度现金奖金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EPS；Safety (TRIR)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0；1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1（至少一个 KPI = 1）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G2 业绩股 PSU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Relative TSR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0（全部 KPI = 0）</w:t>
            </w:r>
          </w:p>
        </w:tc>
      </w:tr>
      <w:tr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G3 年度现金奖金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Revenue；Individual performance</w:t>
            </w:r>
          </w:p>
        </w:tc>
        <w:tc>
          <w:tcPr>
            <w:tcW w:type="dxa" w:w="27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0；未知</w:t>
            </w:r>
          </w:p>
        </w:tc>
        <w:tc>
          <w:tcPr>
            <w:tcW w:type="dxa" w:w="2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未知（没有 1，且有未知）</w:t>
            </w:r>
          </w:p>
        </w:tc>
      </w:tr>
    </w:tbl>
    <w:p/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采用（adopt）</w:t>
      </w:r>
      <w:r>
        <w:rPr>
          <w:rFonts w:ascii="Calibri" w:cs="Calibri" w:eastAsia="Microsoft YaHei" w:hAnsi="Calibri"/>
        </w:rPr>
        <w:t xml:space="preserve"> = 1：只要有一个 grant = 1 就是 1。（若 G1 不存在，则 G2 = 0、G3 = 未知 → 采用 = 未知，</w:t>
      </w:r>
      <w:r>
        <w:rPr>
          <w:rFonts w:ascii="Calibri" w:cs="Calibri" w:eastAsia="Microsoft YaHei" w:hAnsi="Calibri"/>
          <w:b/>
          <w:bCs/>
        </w:rPr>
        <w:t xml:space="preserve">不是 0</w:t>
      </w:r>
      <w:r>
        <w:rPr>
          <w:rFonts w:ascii="Calibri" w:cs="Calibri" w:eastAsia="Microsoft YaHei" w:hAnsi="Calibri"/>
        </w:rPr>
        <w:t xml:space="preserve">。）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业绩型 grant 的 ESG 占比</w:t>
      </w:r>
      <w:r>
        <w:rPr>
          <w:rFonts w:ascii="Calibri" w:cs="Calibri" w:eastAsia="Microsoft YaHei" w:hAnsi="Calibri"/>
        </w:rPr>
        <w:t xml:space="preserve">：精确值不可得（G3 未知）。下界 lb = 1/3 = 33%（未知按 0）；上界 ub = 2/3 = 67%（未知按 1）；覆盖率 = 2/3。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KPI 占比</w:t>
      </w:r>
      <w:r>
        <w:rPr>
          <w:rFonts w:ascii="Calibri" w:cs="Calibri" w:eastAsia="Microsoft YaHei" w:hAnsi="Calibri"/>
        </w:rPr>
        <w:t xml:space="preserve">（单位内不重复的指标）：5 个指标中 1 个是 ESG、1 个未知 → lb = 20%，ub = 40%。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价值占比</w:t>
      </w:r>
      <w:r>
        <w:rPr>
          <w:rFonts w:ascii="Calibri" w:cs="Calibri" w:eastAsia="Microsoft YaHei" w:hAnsi="Calibri"/>
        </w:rPr>
        <w:t xml:space="preserve">：含 ESG 条件的 grant 的价值 / 有价值的 grant 的总价值——这是“暴露度”，</w:t>
      </w:r>
      <w:r>
        <w:rPr>
          <w:rFonts w:ascii="Calibri" w:cs="Calibri" w:eastAsia="Microsoft YaHei" w:hAnsi="Calibri"/>
          <w:b/>
          <w:bCs/>
        </w:rPr>
        <w:t xml:space="preserve">不是</w:t>
      </w:r>
      <w:r>
        <w:rPr>
          <w:rFonts w:ascii="Calibri" w:cs="Calibri" w:eastAsia="Microsoft YaHei" w:hAnsi="Calibri"/>
        </w:rPr>
        <w:t xml:space="preserve">归属于 ESG 的薪酬金额（ISS 无可靠的 KPI 权重）。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8. 主要结果（自动来自数据）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业绩型 grant 的公司-年 Strict ESG 采用率（下界）：2017 年 14.6%，2018 年 15.4%，2020 年 19.4%，2021 年 30.4%。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ISS 原分类（诊断）：2017 年 0.3% → 2018 年 13.7%——这个跳升来自 ISS 改分类，统一文本分类下不存在。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持续存在的公司（2017 与 2018 都在样本中，1,134 家）：14.1% → 15.3%；样本进出不是原因。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From 2018 to 2021 the mean share rises by +6.7 pp; +7.2 pp comes from more firms adopting (extensive margin) and -0.4 pp from higher intensity among adopters.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ESG 条件主要出现在现金奖金计划中：2021 年含 ESG 现金奖励的公司-年占 28.0%，含 ESG 股权业绩奖励的占 5.3%。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</w:rPr>
        <w:t xml:space="preserve">维度（2021 年下界）：E 9.4%，S 25.0%，G 1.2%；社会类（安全、多元化）是主体。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0"/>
        <w:gridCol w:w="1070"/>
        <w:gridCol w:w="1070"/>
        <w:gridCol w:w="1070"/>
        <w:gridCol w:w="1070"/>
        <w:gridCol w:w="1070"/>
        <w:gridCol w:w="1070"/>
        <w:gridCol w:w="1070"/>
        <w:gridCol w:w="1078"/>
      </w:tblGrid>
      <w:tr>
        <w:trPr>
          <w:tblHeader/>
        </w:trP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FY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Firms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Adopt lb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Complete-case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Adopt ub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Extended lb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Mean perf-grant share lb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Mean perf coverage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4"/>
                <w:szCs w:val="14"/>
              </w:rPr>
              <w:t xml:space="preserve">ISS ESG (diag)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1998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689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49.5%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0.61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2003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772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4.0%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8.7%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57.9%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0.55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2008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1,236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10.7%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59.5%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5.4%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0.68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2013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1,278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27.0%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64.4%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17.6%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0.70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2015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1,263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34.3%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71.7%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18.8%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0.67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0.0%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2016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1,200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32.2%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70.3%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18.2%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0.69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0.1%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2017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1,188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14.6%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29.0%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64.4%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19.2%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6.7%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0.73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0.3%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1,160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15.4%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30.5%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64.9%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20.2%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0.74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13.7%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2019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1,128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16.8%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31.8%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64.0%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21.5%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0.76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16.8%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2020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1,090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19.4%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37.1%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67.0%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24.5%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9.4%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0.75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19.3%</w:t>
            </w:r>
          </w:p>
        </w:tc>
      </w:tr>
      <w:tr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2021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956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30.4%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52.8%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72.8%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34.9%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14.2%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0.78</w:t>
            </w:r>
          </w:p>
        </w:tc>
        <w:tc>
          <w:tcPr>
            <w:tcW w:type="dxa" w:w="10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4"/>
                <w:szCs w:val="14"/>
              </w:rPr>
              <w:t xml:space="preserve">30.1%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9. v1.1 相对 v1.0 改了什么</w:t>
      </w:r>
    </w:p>
    <w:p>
      <w:pPr>
        <w:spacing w:after="100"/>
      </w:pPr>
      <w:r>
        <w:rPr>
          <w:rFonts w:ascii="Calibri" w:cs="Calibri" w:eastAsia="Microsoft YaHei" w:hAnsi="Calibri"/>
        </w:rPr>
        <w:t xml:space="preserve">全面复审形成 25 条发现（6 条高严重性），全部修正；469 个文本单元（3,678 条目标记录）至少一个标签改变。每条发现的证据与修正见 07_Review_and_Changes_v1.1.docx。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10. 人工验证怎么做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两位编码员分别打开 Validation/validation_coding_sheet_v1.0_coder1_local.csv 与 coder2（盲表：看不到模型标签）。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按 Validation/CODING_GUIDELINES.md 对每个单元填写 human_esg_strict / extended / e / s / g，取值 1、0 或 U（无法判断）。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分别另存为 Validation/human_labels/coder1_labels.csv、coder2_labels.csv（保留 sample_id 列）。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运行 python Code/master_run.py 13：计算两位编码员一致性（kappa），并生成 adjudication_sheet_local.csv（一致的已预填）。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Microsoft YaHei" w:hAnsi="Calibri"/>
        </w:rPr>
        <w:t xml:space="preserve">裁定分歧后另存为 Validation/human_labels/adjudicated_labels.csv，运行 python Code/master_run.py 06：人工标签写入数据集，并计算精确率、召回率、F1（含分层权重与自助法置信区间）；所有报告自动更新。</w:t>
      </w:r>
    </w:p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11. 文件夹地图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4819"/>
        <w:gridCol w:w="1607"/>
      </w:tblGrid>
      <w:tr>
        <w:trPr>
          <w:tblHeader/>
        </w:trP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位置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内容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/>
                <w:bCs/>
                <w:sz w:val="17"/>
                <w:szCs w:val="17"/>
              </w:rPr>
              <w:t xml:space="preserve">可否外传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Code/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全部代码（按步骤编号）；docgen/ 为报告模板与 Word 生成器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可以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Dictionaries/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论文词典 (a)、修订规则与逐词审查 (b)、修改记录 (c)；local/ 含 ISS 原文示例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local/ 不可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Data/Final/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七个 Stata 数据集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不可（ISS 授权数据）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Data/Intermediate/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中间 parquet 与审计表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不可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Annual_Analysis/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年度趋势与 2018 断点分析表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可以（仅汇总统计）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Validation/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验证样本 ID、编码手册、对比统计；*_local.csv 含原文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*_local 不可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Documentation/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方法报告、变量字典、审计结果、审查发现、版本对比；Reports/ 为 Word 报告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*_local.docx 不可</w:t>
            </w:r>
          </w:p>
        </w:tc>
      </w:tr>
      <w:tr>
        <w:tc>
          <w:tcPr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Logs/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每一步的运行日志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Microsoft YaHei" w:hAnsi="Calibri"/>
                <w:b w:val="false"/>
                <w:bCs w:val="false"/>
                <w:sz w:val="17"/>
                <w:szCs w:val="17"/>
              </w:rPr>
              <w:t xml:space="preserve">可以</w:t>
            </w:r>
          </w:p>
        </w:tc>
      </w:tr>
    </w:tbl>
    <w:p/>
    <w:p>
      <w:pPr>
        <w:pStyle w:val="Heading1"/>
        <w:spacing w:after="120" w:before="240"/>
      </w:pPr>
      <w:r>
        <w:rPr>
          <w:rFonts w:ascii="Calibri" w:cs="Calibri" w:eastAsia="Microsoft YaHei" w:hAnsi="Calibri"/>
        </w:rPr>
        <w:t xml:space="preserve">12. 常见问题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为什么不直接用 ISS 的 ESG 分类？</w:t>
      </w:r>
      <w:r>
        <w:rPr>
          <w:rFonts w:ascii="Calibri" w:cs="Calibri" w:eastAsia="Microsoft YaHei" w:hAnsi="Calibri"/>
        </w:rPr>
        <w:t xml:space="preserve"> 它在 2018 年改变了定义，前后不可比，会制造人为的跳升；而且 2018 年前几乎没有 ESG 标签。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为什么未知这么多？</w:t>
      </w:r>
      <w:r>
        <w:rPr>
          <w:rFonts w:ascii="Calibri" w:cs="Calibri" w:eastAsia="Microsoft YaHei" w:hAnsi="Calibri"/>
        </w:rPr>
        <w:t xml:space="preserve"> 年度奖金常写“Individual performance”“Strategic goals”之类，文字本身无法判断是否含 ESG。如实标为未知，并用 lb/ub 给出范围。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回归里用哪个变量？</w:t>
      </w:r>
      <w:r>
        <w:rPr>
          <w:rFonts w:ascii="Calibri" w:cs="Calibri" w:eastAsia="Microsoft YaHei" w:hAnsi="Calibri"/>
        </w:rPr>
        <w:t xml:space="preserve"> 推荐 firm_perf_esg_adopt_strict（三态，缺失即未知），同时报告 firm_esg_perf_share_lb / _ub 与覆盖率；稳健性检验可用 Extended 版本、完整样本（*_esg_measurement_complete = 1）和现金/股权拆分。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能算出“ESG 相关薪酬金额”吗？</w:t>
      </w:r>
      <w:r>
        <w:rPr>
          <w:rFonts w:ascii="Calibri" w:cs="Calibri" w:eastAsia="Microsoft YaHei" w:hAnsi="Calibri"/>
        </w:rPr>
        <w:t xml:space="preserve"> 不能可靠计算：ISS 的 percentVest 是按考核期的支付比例，并与 AND/OR 组合规则相互作用，KPI 权重不可观测；本项目不编造权重。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想换定义怎么办？</w:t>
      </w:r>
      <w:r>
        <w:rPr>
          <w:rFonts w:ascii="Calibri" w:cs="Calibri" w:eastAsia="Microsoft YaHei" w:hAnsi="Calibri"/>
        </w:rPr>
        <w:t xml:space="preserve"> 数据集 A 中每个单元都有 esg_topics（命中的主题）与 adjacent_flags（被排除的相邻主题），可以按自己的边界重新汇总。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Microsoft YaHei" w:hAnsi="Calibri"/>
          <w:b/>
          <w:bCs/>
        </w:rPr>
        <w:t xml:space="preserve">规则改了怎么办？</w:t>
      </w:r>
      <w:r>
        <w:rPr>
          <w:rFonts w:ascii="Calibri" w:cs="Calibri" w:eastAsia="Microsoft YaHei" w:hAnsi="Calibri"/>
        </w:rPr>
        <w:t xml:space="preserve"> 修改 Code/esg_rules.py，升级 config.py 中的 CLASSIFIER_VERSION，在 c_change_log.csv 记录原因，从 04 步重跑；版本对比与全部报告会自动更新。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YaHe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Microsoft YaHei" w:hAnsi="Calibri"/>
        <w:color w:val="808080"/>
        <w:sz w:val="16"/>
        <w:szCs w:val="16"/>
      </w:rPr>
      <w:t xml:space="preserve">User Guide (CN)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•"/>
      <w:lvlJc w:val="left"/>
      <w:pPr>
        <w:ind w:left="720" w:hanging="260"/>
      </w:pPr>
    </w:lvl>
    <w:lvl w:ilvl="2" w15:tentative="1">
      <w:start w:val="1"/>
      <w:numFmt w:val="bullet"/>
      <w:lvlText w:val="•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YaHe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使用指南 — 文本 ESG 高管薪酬数据库</dc:title>
  <dc:creator>ESG_Text_Based_Incentives pipeline</dc:creator>
  <cp:lastModifiedBy>Un-named</cp:lastModifiedBy>
  <cp:revision>1</cp:revision>
  <dcterms:created xsi:type="dcterms:W3CDTF">2026-10-31T20:55:20.007Z</dcterms:created>
  <dcterms:modified xsi:type="dcterms:W3CDTF">2026-10-31T20:55:20.007Z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