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Review Findings and Changes — v1.1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版本复审与修改报告（v1.0 → v1.1；自动生成）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20:55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badbbbd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 status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PROVISIONAL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为什么要出新版本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v1.0 完成后，对全部任务要求、代码、规则与文档做了一次全面复审：逐条规则对照真实文本，逐个聚合公式对照定义，并检查验证代码、Stata 导出与文档中的每个数字。复审共形成 25 条发现，全部在 v1.1 修正；随后又做了独立多角度代码审查，确认的问题同样修正。原则不变：同一套规则用于所有年份，不为消除 2018 年断点调整标准。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发现清单（每条：发现了什么、证据/影响、如何修正）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6"/>
        <w:gridCol w:w="794"/>
        <w:gridCol w:w="596"/>
        <w:gridCol w:w="2682"/>
        <w:gridCol w:w="1987"/>
        <w:gridCol w:w="2384"/>
        <w:gridCol w:w="699"/>
      </w:tblGrid>
      <w:tr>
        <w:trPr>
          <w:tblHeader/>
        </w:trP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finding_id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area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severity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finding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evidence_or_impact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fix_in_v1.1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3"/>
                <w:szCs w:val="13"/>
              </w:rPr>
              <w:t xml:space="preserve">status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R01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Bare 'governance' was Strict G, contrary to task brief 4.3 (governance must be specific)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30 units / 148 goal rows lose G=1 in v1.1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Strict G only for corporate governance, board, shareholder rights, say-on-pay, governance ratings; bare 'governance' -&gt; Unknown (A_governance_bare)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R02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ESG business lines (MSCI 'ESG segments net new sales', 'ESG-Dedicated AUM') were Strict ESG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 units / 14 goal rows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J_esg_business_line -&gt; 0/0 flagged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R03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'Customer Engagement Index' was Strict S via the employee 'engagement index' rule; 'Customer/Partner Engagement' was Strict S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 units / 26 goal rows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customer/patient/member engagement routed to Extended first; 'partner' removed from employee nouns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R04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Worker radiation dose (nuclear), loss of containment, 'LCEs', 'Retention ... of high potential employees', 'Employee one-year retention' were Unknown (false negatives)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17 units / 177 goal rows move Unknown -&gt; Strict 1 in total (all new rules)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rules added (S_ohs, S_human_capital, S_access_inclusion ...)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R05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Spurious Unknowns: discretionary cash flow, insurance 'Individual Markets/Life' lines, strategic diversification, balance sheet, CASM/RASM, dayrates, clinical dose milestones, community count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372 units / 2990 goal rows move Unknown -&gt; 0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non-ESG vocabulary and masks extended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R06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'Satisfaction of strategic sales goals' (fulfilment) was Extended (customer satisfaction)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5 units / 17 goal rows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mask 'satisfaction of'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R07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Community Reinvestment Act results were only Extended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 units / 14 goal rows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S_access_inclusion (Strict S)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R08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Government relations were Extended (stakeholder); lobbying is not an ESG performance outcome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11 units / 51 goal rows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J_public_affairs -&gt; 0/0 flagged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R09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classification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'mental health' lacked a word boundary (matched inside 'environmental health'); 'diverse' lacked one (Diversey)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no label changed in data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word boundaries added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R10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logic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Pillar label set to 0 although an ambiguous word for that pillar was present (e.g. 'Safety and Governance' -&gt; G=0)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pillars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pillar-specific ambiguous hit leaves the pillar Unknown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R11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logic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esg_extended_only = 1 when Strict was Unknown and Extended = 1 (should be Unknown)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22 units / 103 goal rows in v1.0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extended_only() helper used everywhere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R12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logic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E/S/G adoption required ALL performance grants to be non-ESG for a 0; a firm with only S conditions got E = Unknown instead of 0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pillar adoption at every level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pillar adoption = 0 when every performance grant has pillar = 0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R13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logic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E/S/G grant and KPI shares were published as exact although they are lower bounds (general ESG terms leave pillars unresolved)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all pillar shares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exact only when every pillar label is known, plus _lb/_ub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R14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data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144 duplicated grantIDs had conflicting performancetype ('Abs' and 'Time'; 3 also 'Rel'); v1.0 kept the first row by accident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141 grants with goal data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type resolved from goal data (Abs/Rel/AbsRel), flagged grant_dup_resolved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R15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data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Grants whose declared number of objectives exceeds recorded objectives were classified 0 although the missing objectives could be ESG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362 grants (16 previously 0)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grant_goal_data_incomplete flag; ESG Unknown unless an ESG KPI is present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R16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measure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Value share used grant-date fair value only, which is missing for 98.6% of cash-incentive awards (ISS stores their target payout in nonEquityTarget); ESG sits mostly in annual cash plans, so exposure was understated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all value-share variables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grant_value_combined = fair value, else non-equity target payout; value_source flagged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R17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measure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Counts were missing (not 0) for CEOs and firm-years without grants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2,459 CEO rows; 776 firm-years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fill_counts(): counts 0, measures stay missing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R18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analysis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Balanced panel selected firms whose adoption was KNOWN every year (selection on the outcome; 40% adoption)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annual analysis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balanced panel = firms with performance grants every year 2015-2021; lb/cc/ub reported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R19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validation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Scoring code had never been executed: 'U' labels broke numeric comparisons, joins used version-specific text_id, bootstrap ignored strata, kappa mishandled missing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validation step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humanlabels.py (1/0/U parsing, sample_id/text_key joins), stratified bootstrap, kappa with Unknown category; tested on synthetic labels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R20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reproducibility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text_id was a sequence number (changes when units change); the frozen sample existed only in a local file with ISS text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ids / sample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text_id = SHA-1 hash of text_key; pushable id list validation_sample_v1.0_ids.csv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R21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documentation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Methodology report numbers were hand-typed (would go stale after any data update); several variable definitions were blank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docs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report generated from current outputs (Step 18); every variable defined (Step 15)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R22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transparency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low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No independent check of the AGHJ implementation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approximate replication of AGHJ Table 1 (Validation/e_paper_replication_benchmark.csv)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R23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data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Stata export forced latin-1 and replaced non-latin-1 characters (e.g. ’ —) with '?' in every string variable (found by the v1.1 audit: text_id hash check failed)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418 text units had altered text in the v1.0 .dta files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write UTF-8 (Stata 118 native); audit verifies text_key round-trips exactly (hash check)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R24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development check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high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Caught BEFORE release: in the rewritten aggregation the helper count for pillar S shared a name with the Strict count, so S adoption equalled Strict adoption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found by inspecting v1.1 outputs (S adoption = Strict adoption in every year)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distinct helper names + assertion against duplicates; audit re-derives E, S and G adoption and shares from grants and guards S != Strict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  <w:tr>
        <w:tc>
          <w:tcPr>
            <w:tcW w:type="dxa" w:w="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R25</w:t>
            </w:r>
          </w:p>
        </w:tc>
        <w:tc>
          <w:tcPr>
            <w:tcW w:type="dxa" w:w="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development check</w:t>
            </w:r>
          </w:p>
        </w:tc>
        <w:tc>
          <w:tcPr>
            <w:tcW w:type="dxa" w:w="5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medium</w:t>
            </w:r>
          </w:p>
        </w:tc>
        <w:tc>
          <w:tcPr>
            <w:tcW w:type="dxa" w:w="2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Caught BEFORE release by reviewing every changed unit: 'work environment' fell to the Environmental rule; 'placement' matched inside 'replacement'; specific board-governance phrases became Unknown</w:t>
            </w:r>
          </w:p>
        </w:tc>
        <w:tc>
          <w:tcPr>
            <w:tcW w:type="dxa" w:w="1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about 10 units</w:t>
            </w:r>
          </w:p>
        </w:tc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'work environment' -&gt; Social; word boundaries; board-governance phrasing rule</w:t>
            </w:r>
          </w:p>
        </w:tc>
        <w:tc>
          <w:tcPr>
            <w:tcW w:type="dxa" w:w="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3"/>
                <w:szCs w:val="13"/>
              </w:rPr>
              <w:t xml:space="preserve">fixed in v1.1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标签变化（文本单元层面）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469 个分类单元（3,678 条目标记录）至少一个标签改变。主要变化类型：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2"/>
        <w:gridCol w:w="1807"/>
        <w:gridCol w:w="2209"/>
      </w:tblGrid>
      <w:tr>
        <w:trPr>
          <w:tblHeader/>
        </w:trP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change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units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goal_rows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U-&gt;0; ext U-&gt;0; E/S/G UUU-&gt;000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362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2,903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0-&gt;1; ext 0-&gt;1; E/S/G 000-&gt;010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189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U-&gt;1; ext U-&gt;1; E/S/G UUU-&gt;010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175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1-&gt;U; ext 1-&gt;U; E/S/G 001-&gt;UUU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124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U-&gt;0; ext U-&gt;1; E/S/G UUU-&gt;000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0-&gt;0; ext 1-&gt;0; E/S/G 000-&gt;000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0-&gt;1; ext 1-&gt;1; E/S/G 000-&gt;010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1-&gt;1; ext 1-&gt;1; E/S/G 100-&gt;1U0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1-&gt;0; ext 1-&gt;1; E/S/G 010-&gt;000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1-&gt;0; ext 1-&gt;0; E/S/G UUU-&gt;000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1-&gt;U; ext 1-&gt;1; E/S/G 001-&gt;UUU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</w:tr>
      <w:tr>
        <w:tc>
          <w:tcPr>
            <w:tcW w:type="dxa" w:w="5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0-&gt;U; ext 1-&gt;U; E/S/G 000-&gt;UUU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2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Strict 标签迁移矩阵（按目标记录加权）：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Strict v1.0 \ v1.1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U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664947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220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29722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137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U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2990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177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115844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对主要结果的影响（公司-年，业绩型 grant，下界）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FY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Adopt lb v1.0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Adopt lb v1.1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S lb v1.0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S lb v1.1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G lb v1.0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G lb v1.1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Value share v1.0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Value share v1.1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1998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2008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10.4%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10.4%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2015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0.8%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5.9%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2017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13.9%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0.8%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5.4%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2018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15.5%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15.4%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6.1%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2020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19.6%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19.4%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17.3%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17.4%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1.3%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0.7%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8.1%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2021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30.4%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30.4%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25.0%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25.0%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1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11.7%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价值占比变化主要来自 R16：现金奖励在 ISS 中没有授予日公允价值，v1.0 因此把大部分现金奖金排除在价值分母之外；v1.1 对现金奖励使用非股权目标支付额。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如何核对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每个变化单元（含原文）：Validation/version_changed_units_v1.0_to_v1.1_local.csv（仅本地）。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按变化类型汇总：Documentation/version_comparison_v1.0_to_v1.1_change_types.csv；迁移矩阵：…_label_transitions.csv；年度对比：…_firm_annual.csv。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规则级修改：Dictionaries/b_revised_rules_v1.1.csv 的 version_change 列；决策记录：Dictionaries/c_change_log.csv。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v1.0 的全部成品保存在 Data/Intermediate/snapshot_v1.0/，可随时复算对比。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Review and Changes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 Findings and Changes — v1.1</dc:title>
  <dc:creator>ESG_Text_Based_Incentives pipeline</dc:creator>
  <cp:lastModifiedBy>Un-named</cp:lastModifiedBy>
  <cp:revision>1</cp:revision>
  <dcterms:created xsi:type="dcterms:W3CDTF">2026-10-31T20:55:20.240Z</dcterms:created>
  <dcterms:modified xsi:type="dcterms:W3CDTF">2026-10-31T20:55:20.240Z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