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fbbf0b96edac2030a02f6202389f37e133b43f3"/>
    <w:p>
      <w:pPr>
        <w:pStyle w:val="Heading1"/>
      </w:pPr>
      <w:r>
        <w:t xml:space="preserve">Text-Based ESG Executive Incentives from ISS Incentive Lab (1998–2021)</w:t>
      </w:r>
    </w:p>
    <w:bookmarkStart w:id="21" w:name="Xa348a64e3e6109cb8a474990f16e5b7c694acec"/>
    <w:p>
      <w:pPr>
        <w:pStyle w:val="Heading2"/>
      </w:pPr>
      <w:r>
        <w:t xml:space="preserve">Measurement Methodology and Validation Report — classifier v1.0</w:t>
      </w:r>
    </w:p>
    <w:p>
      <w:pPr>
        <w:pStyle w:val="BlockText"/>
      </w:pPr>
      <w:r>
        <w:rPr>
          <w:bCs/>
          <w:b/>
        </w:rPr>
        <w:t xml:space="preserve">Status: PROVISIONAL.</w:t>
      </w:r>
      <w:r>
        <w:t xml:space="preserve"> </w:t>
      </w:r>
      <w:r>
        <w:t xml:space="preserve">Every label is produced by the frozen deterministic classifier v1.0. No independent human reference labels exist yet, so</w:t>
      </w:r>
      <w:r>
        <w:t xml:space="preserve"> </w:t>
      </w:r>
      <w:r>
        <w:rPr>
          <w:bCs/>
          <w:b/>
        </w:rPr>
        <w:t xml:space="preserve">no accuracy statistic is reported</w:t>
      </w:r>
      <w:r>
        <w:t xml:space="preserve">. A blind validation sample (601 units), a coding guideline and the scoring code are ready (§12).</w:t>
      </w:r>
    </w:p>
    <w:bookmarkStart w:id="20" w:name="中文摘要"/>
    <w:p>
      <w:pPr>
        <w:pStyle w:val="Heading3"/>
      </w:pPr>
      <w:r>
        <w:t xml:space="preserve">中文摘要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范围与方法</w:t>
      </w:r>
      <w:r>
        <w:t xml:space="preserve">：本项目对 ISS Incentive Lab 1998–2021 年全部 814,091 条业绩目标记录，用同一套文本规则（v1.0，50 条规则）做 ESG 分类，产出 KPI、Grant、高管、CEO、非 CEO 和公司-年层面的数据集。每个标签都是 1 / 0 / 未知三态。</w:t>
      </w:r>
    </w:p>
    <w:p>
      <w:pPr>
        <w:numPr>
          <w:ilvl w:val="1"/>
          <w:numId w:val="1002"/>
        </w:numPr>
        <w:pStyle w:val="Compact"/>
      </w:pPr>
      <w:r>
        <w:t xml:space="preserve">ISS 原有的 ESG 分类（metricType 与 2018 年新增的 metric 标签）只用于诊断对比，从不作为分类依据。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2018 年断点是分类造成的</w:t>
      </w:r>
      <w:r>
        <w:t xml:space="preserve">：ISS 原分类显示的 2018 年跳升，在统一文本分类下不存在。业绩型 grant 的公司-年 Strict ESG 采用率下界在 2017 年为 14.6%，2018 年为 15.5%。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真正的上升在 2020–2021 年</w:t>
      </w:r>
      <w:r>
        <w:t xml:space="preserve">：2021 年采用率下界为 30.4%。增长主要来自采用面扩大（广延边际），社会类（S）是主要驱动。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未知比例需要如实报告</w:t>
      </w:r>
      <w:r>
        <w:t xml:space="preserve">：大量年度奖金指标（如 "Individual Performance"）无法判断，所以采用率给出下界、完整样本和上界三种口径。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验证尚未完成</w:t>
      </w:r>
      <w:r>
        <w:t xml:space="preserve">：没有人工标注之前，所有标签均为暂定（Provisional）。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936d7b73f4e9439050913fa9dd33facd613092b"/>
    <w:p>
      <w:pPr>
        <w:pStyle w:val="Heading2"/>
      </w:pPr>
      <w:r>
        <w:t xml:space="preserve">1. Raw ISS data inventory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Location</w:t>
      </w:r>
      <w:r>
        <w:t xml:space="preserve">: the 18 Stata files under</w:t>
      </w:r>
      <w:r>
        <w:t xml:space="preserve"> </w:t>
      </w:r>
      <w:r>
        <w:rPr>
          <w:rStyle w:val="VerbatimChar"/>
        </w:rPr>
        <w:t xml:space="preserve">01. Incentive Lab/</w:t>
      </w:r>
      <w:r>
        <w:t xml:space="preserve"> </w:t>
      </w:r>
      <w:r>
        <w:t xml:space="preserve">plus the ISS User Guide (8 July 2021).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Inventory 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Documentation/data_inventory_files.csv</w:t>
      </w:r>
      <w:r>
        <w:t xml:space="preserve"> </w:t>
      </w:r>
      <w:r>
        <w:t xml:space="preserve">lists rows, columns, candidate-key duplicate counts and year range;</w:t>
      </w:r>
      <w:r>
        <w:t xml:space="preserve"> </w:t>
      </w:r>
      <w:r>
        <w:rPr>
          <w:rStyle w:val="VerbatimChar"/>
        </w:rPr>
        <w:t xml:space="preserve">data_inventory_fields.csv</w:t>
      </w:r>
      <w:r>
        <w:t xml:space="preserve"> </w:t>
      </w:r>
      <w:r>
        <w:t xml:space="preserve">lists every field with its dtype, non-missing count, number of</w:t>
      </w:r>
      <w:r>
        <w:t xml:space="preserve"> </w:t>
      </w:r>
      <w:r>
        <w:rPr>
          <w:rStyle w:val="VerbatimChar"/>
        </w:rPr>
        <w:t xml:space="preserve">-9999</w:t>
      </w:r>
      <w:r>
        <w:t xml:space="preserve"> </w:t>
      </w:r>
      <w:r>
        <w:t xml:space="preserve">missing codes and blanks. Log:</w:t>
      </w:r>
      <w:r>
        <w:t xml:space="preserve"> </w:t>
      </w:r>
      <w:r>
        <w:rPr>
          <w:rStyle w:val="VerbatimChar"/>
        </w:rPr>
        <w:t xml:space="preserve">Logs/01_data_inventory.log</w:t>
      </w:r>
      <w:r>
        <w:t xml:space="preserve">.</w:t>
      </w:r>
    </w:p>
    <w:p>
      <w:pPr>
        <w:pStyle w:val="FirstParagraph"/>
      </w:pPr>
      <w:r>
        <w:t xml:space="preserve">Files used: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 Grants of Plan-Based Awards (GpbaGrant)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grants, award attributes, performance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469,573 (469,429 distinct grantID)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 Absolute Performance Goals (GpbaAbs)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text and payout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716,130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Relative Performance Goals (GpbaRel)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text and peer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89,985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 Accelerated Performance Goals (GpbaAcc)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acceleration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Participant Data by 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identity, title, role codes, currentCEO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474,170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 Company Data by 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firm-year universe, name, ticker, CUSIP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33,328</w:t>
            </w:r>
          </w:p>
        </w:tc>
      </w:tr>
    </w:tbl>
    <w:p>
      <w:pPr>
        <w:pStyle w:val="BodyText"/>
      </w:pPr>
      <w:r>
        <w:t xml:space="preserve">The other files (ownership, director compensation, peers, holding requirements, consultants, outstanding equity, exercises) are not needed for the construct.</w:t>
      </w:r>
    </w:p>
    <w:p>
      <w:pPr>
        <w:numPr>
          <w:ilvl w:val="0"/>
          <w:numId w:val="1004"/>
        </w:numPr>
        <w:pStyle w:val="Compact"/>
      </w:pPr>
      <w:r>
        <w:t xml:space="preserve">The Summary Compensation Table (file 18) has</w:t>
      </w:r>
      <w:r>
        <w:t xml:space="preserve"> </w:t>
      </w:r>
      <w:r>
        <w:rPr>
          <w:bCs/>
          <w:b/>
        </w:rPr>
        <w:t xml:space="preserve">no participantID column</w:t>
      </w:r>
      <w:r>
        <w:t xml:space="preserve"> </w:t>
      </w:r>
      <w:r>
        <w:t xml:space="preserve">in this delivery, although the guide lists one. It therefore cannot be linked to executives and is not used.</w:t>
      </w:r>
    </w:p>
    <w:bookmarkEnd w:id="22"/>
    <w:bookmarkStart w:id="23" w:name="X3107107e2c56770f2628e553c358d95c2d1a679"/>
    <w:p>
      <w:pPr>
        <w:pStyle w:val="Heading2"/>
      </w:pPr>
      <w:r>
        <w:t xml:space="preserve">2. Source files and field definitions</w:t>
      </w:r>
    </w:p>
    <w:p>
      <w:pPr>
        <w:pStyle w:val="FirstParagraph"/>
      </w:pPr>
      <w:r>
        <w:t xml:space="preserve">Field meanings follow the ISS User Guide (fields listed in</w:t>
      </w:r>
      <w:r>
        <w:t xml:space="preserve"> </w:t>
      </w:r>
      <w:r>
        <w:rPr>
          <w:rStyle w:val="VerbatimChar"/>
        </w:rPr>
        <w:t xml:space="preserve">data_inventory_fields.csv</w:t>
      </w:r>
      <w:r>
        <w:t xml:space="preserve">). Key conventions verified in the data: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Missing codes.</w:t>
      </w:r>
      <w:r>
        <w:t xml:space="preserve"> </w:t>
      </w:r>
      <w:r>
        <w:t xml:space="preserve">Numeric missing values are coded</w:t>
      </w:r>
      <w:r>
        <w:t xml:space="preserve"> </w:t>
      </w:r>
      <w:r>
        <w:rPr>
          <w:rStyle w:val="VerbatimChar"/>
        </w:rPr>
        <w:t xml:space="preserve">-9999.xx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-99999</w:t>
      </w:r>
      <w:r>
        <w:t xml:space="preserve"> </w:t>
      </w:r>
      <w:r>
        <w:t xml:space="preserve">also occurs. They are converted to missing: 25,159</w:t>
      </w:r>
      <w:r>
        <w:t xml:space="preserve"> </w:t>
      </w:r>
      <w:r>
        <w:rPr>
          <w:rStyle w:val="VerbatimChar"/>
        </w:rPr>
        <w:t xml:space="preserve">grantDateFV</w:t>
      </w:r>
      <w:r>
        <w:t xml:space="preserve"> </w:t>
      </w:r>
      <w:r>
        <w:t xml:space="preserve">and 22,968</w:t>
      </w:r>
      <w:r>
        <w:t xml:space="preserve"> </w:t>
      </w:r>
      <w:r>
        <w:rPr>
          <w:rStyle w:val="VerbatimChar"/>
        </w:rPr>
        <w:t xml:space="preserve">nonEquityTarget</w:t>
      </w:r>
      <w:r>
        <w:t xml:space="preserve"> </w:t>
      </w:r>
      <w:r>
        <w:t xml:space="preserve">values. Date missing values are coded</w:t>
      </w:r>
      <w:r>
        <w:t xml:space="preserve"> </w:t>
      </w:r>
      <w:r>
        <w:rPr>
          <w:rStyle w:val="VerbatimChar"/>
        </w:rPr>
        <w:t xml:space="preserve">01/01/9999</w:t>
      </w:r>
      <w:r>
        <w:t xml:space="preserve">; 117,906 grant dates are converted to missing. One negative</w:t>
      </w:r>
      <w:r>
        <w:t xml:space="preserve"> </w:t>
      </w:r>
      <w:r>
        <w:rPr>
          <w:rStyle w:val="VerbatimChar"/>
        </w:rPr>
        <w:t xml:space="preserve">grantDateFV</w:t>
      </w:r>
      <w:r>
        <w:t xml:space="preserve"> </w:t>
      </w:r>
      <w:r>
        <w:t xml:space="preserve">and 18 negative</w:t>
      </w:r>
      <w:r>
        <w:t xml:space="preserve"> </w:t>
      </w:r>
      <w:r>
        <w:rPr>
          <w:rStyle w:val="VerbatimChar"/>
        </w:rPr>
        <w:t xml:space="preserve">vestHighGrant</w:t>
      </w:r>
      <w:r>
        <w:t xml:space="preserve"> </w:t>
      </w:r>
      <w:r>
        <w:t xml:space="preserve">values are impossible and are set to missing.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Fiscal year.</w:t>
      </w:r>
      <w:r>
        <w:t xml:space="preserve"> </w:t>
      </w:r>
      <w:r>
        <w:t xml:space="preserve">Defined by ISS's 10-July rule. Goal-record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t xml:space="preserve">equals the grant's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t xml:space="preserve">in 100% of matched records.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metricType</w:t>
      </w:r>
      <w:r>
        <w:rPr>
          <w:bCs/>
          <w:b/>
        </w:rPr>
        <w:t xml:space="preserve">.</w:t>
      </w:r>
      <w:r>
        <w:t xml:space="preserve"> </w:t>
      </w:r>
      <w:r>
        <w:t xml:space="preserve">Before 2018 it takes Accounting / Other / Stock Price. From 2018 it is granular and adds Social / Environment / CSR. Per the guide, "Market-related" is the old "Stock Price".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metric</w:t>
      </w:r>
      <w:r>
        <w:rPr>
          <w:bCs/>
          <w:b/>
        </w:rPr>
        <w:t xml:space="preserve">.</w:t>
      </w:r>
      <w:r>
        <w:t xml:space="preserve"> </w:t>
      </w:r>
      <w:r>
        <w:t xml:space="preserve">The ESG labels (Staff Health And Safety, Diversity, Csr, Climate Change And Energy Use, …) first appear in 2016–2018. Only</w:t>
      </w:r>
      <w:r>
        <w:t xml:space="preserve"> </w:t>
      </w:r>
      <w:r>
        <w:rPr>
          <w:bCs/>
          <w:b/>
        </w:rPr>
        <w:t xml:space="preserve">58 of 10,603</w:t>
      </w:r>
      <w:r>
        <w:t xml:space="preserve"> </w:t>
      </w:r>
      <w:r>
        <w:t xml:space="preserve">rows carrying them are dated before 2018. They are therefore part of the 2018 re-taxonomy (</w:t>
      </w:r>
      <w:r>
        <w:rPr>
          <w:rStyle w:val="VerbatimChar"/>
        </w:rPr>
        <w:t xml:space="preserve">Logs/03_goal_extraction.log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metricOther</w:t>
      </w:r>
      <w:r>
        <w:rPr>
          <w:bCs/>
          <w:b/>
        </w:rPr>
        <w:t xml:space="preserve">.</w:t>
      </w:r>
      <w:r>
        <w:t xml:space="preserve"> </w:t>
      </w:r>
      <w:r>
        <w:t xml:space="preserve">This is the descriptive text. It is blank for</w:t>
      </w:r>
      <w:r>
        <w:t xml:space="preserve"> </w:t>
      </w:r>
      <w:r>
        <w:rPr>
          <w:bCs/>
          <w:b/>
        </w:rPr>
        <w:t xml:space="preserve">68% of goal records in 1998</w:t>
      </w:r>
      <w:r>
        <w:t xml:space="preserve"> </w:t>
      </w:r>
      <w:r>
        <w:t xml:space="preserve">and about</w:t>
      </w:r>
      <w:r>
        <w:t xml:space="preserve"> </w:t>
      </w:r>
      <w:r>
        <w:rPr>
          <w:bCs/>
          <w:b/>
        </w:rPr>
        <w:t xml:space="preserve">50% in 2010</w:t>
      </w:r>
      <w:r>
        <w:t xml:space="preserve">, but for</w:t>
      </w:r>
      <w:r>
        <w:t xml:space="preserve"> </w:t>
      </w:r>
      <w:r>
        <w:rPr>
          <w:bCs/>
          <w:b/>
        </w:rPr>
        <w:t xml:space="preserve">3% in 2018 and 0% from 2020</w:t>
      </w:r>
      <w:r>
        <w:t xml:space="preserve">. This is a text-availability break and it is reported, not imputed.</w:t>
      </w:r>
    </w:p>
    <w:bookmarkEnd w:id="23"/>
    <w:bookmarkStart w:id="24" w:name="Xe20dcb257ccbb15bae3b7d78a91f8e42522934c"/>
    <w:p>
      <w:pPr>
        <w:pStyle w:val="Heading2"/>
      </w:pPr>
      <w:r>
        <w:t xml:space="preserve">3. Entity and identifier relationships</w:t>
      </w:r>
    </w:p>
    <w:p>
      <w:pPr>
        <w:pStyle w:val="SourceCode"/>
      </w:pPr>
      <w:r>
        <w:rPr>
          <w:rStyle w:val="VerbatimChar"/>
        </w:rPr>
        <w:t xml:space="preserve">CompanyFY (CIK, fiscalYear) 1───* GpbaGrant (grantID; CIK, FY, FM, participantID)</w:t>
      </w:r>
      <w:r>
        <w:br/>
      </w:r>
      <w:r>
        <w:rPr>
          <w:rStyle w:val="VerbatimChar"/>
        </w:rPr>
        <w:t xml:space="preserve">ParticipantFY (CIK, FY, FM, participantID) 1───* GpbaGrant</w:t>
      </w:r>
      <w:r>
        <w:br/>
      </w:r>
      <w:r>
        <w:rPr>
          <w:rStyle w:val="VerbatimChar"/>
        </w:rPr>
        <w:t xml:space="preserve">GpbaGrant 1───* GpbaAbs / GpbaRel / GpbaAcc  (grantId, goal id, periodID)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Goal ids are recycled across grants.</w:t>
      </w:r>
      <w:r>
        <w:t xml:space="preserve"> </w:t>
      </w:r>
      <w:r>
        <w:rPr>
          <w:rStyle w:val="VerbatimChar"/>
        </w:rPr>
        <w:t xml:space="preserve">absId</w:t>
      </w:r>
      <w:r>
        <w:t xml:space="preserve"> </w:t>
      </w:r>
      <w:r>
        <w:t xml:space="preserve">alone has 191,919 duplicates and</w:t>
      </w:r>
      <w:r>
        <w:t xml:space="preserve"> </w:t>
      </w:r>
      <w:r>
        <w:rPr>
          <w:rStyle w:val="VerbatimChar"/>
        </w:rPr>
        <w:t xml:space="preserve">(absId, periodID)</w:t>
      </w:r>
      <w:r>
        <w:t xml:space="preserve"> </w:t>
      </w:r>
      <w:r>
        <w:t xml:space="preserve">has 54,978. The true record key is</w:t>
      </w:r>
      <w:r>
        <w:t xml:space="preserve"> </w:t>
      </w:r>
      <w:r>
        <w:rPr>
          <w:bCs/>
          <w:b/>
        </w:rPr>
        <w:t xml:space="preserve">(goal_source, grantId, goal_id, periodId)</w:t>
      </w:r>
      <w:r>
        <w:t xml:space="preserve">, which has 0 duplicates in all three goal files.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grantID.</w:t>
      </w:r>
      <w:r>
        <w:t xml:space="preserve"> </w:t>
      </w:r>
      <w:r>
        <w:t xml:space="preserve">144 grantIDs appear twice (285 rows). The duplicate rows agree on CIK, participant, year, month and award type, so they are de-duplicated safely.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Goal-to-grant linkage.</w:t>
      </w:r>
      <w:r>
        <w:t xml:space="preserve"> </w:t>
      </w:r>
      <w:r>
        <w:t xml:space="preserve">99.9988% of goal records match a grant. Ten records belonging to three grantIDs are absent from the grants table; they are listed in</w:t>
      </w:r>
      <w:r>
        <w:t xml:space="preserve"> </w:t>
      </w:r>
      <w:r>
        <w:rPr>
          <w:rStyle w:val="VerbatimChar"/>
        </w:rPr>
        <w:t xml:space="preserve">Data/Intermediate/audit_goal_grants_missing_in_grant_table.csv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ParticipantFY key.</w:t>
      </w:r>
      <w:r>
        <w:t xml:space="preserve"> </w:t>
      </w:r>
      <w:r>
        <w:t xml:space="preserve">The table is unique on (CIK, FY, FM, participantID).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unique on (CIK, FY, participantID): there are 1,007 duplicates caused by fiscal-month changes. Grants are therefore matched on all four fields; 99.975% match (117 unmatched grants are listed in an audit file).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CompanyFY</w:t>
      </w:r>
      <w:r>
        <w:t xml:space="preserve"> </w:t>
      </w:r>
      <w:r>
        <w:t xml:space="preserve">is unique on (CIK, FY). 776 firm-years have no grants. Every grant firm-year exists in CompanyFY.</w:t>
      </w:r>
    </w:p>
    <w:bookmarkEnd w:id="24"/>
    <w:bookmarkStart w:id="25" w:name="X79002d1ec2a43bcc84c3d4f7f94b2228babdb9d"/>
    <w:p>
      <w:pPr>
        <w:pStyle w:val="Heading2"/>
      </w:pPr>
      <w:r>
        <w:t xml:space="preserve">4. Definition of distinct performance KPIs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Raw goal record</w:t>
      </w:r>
      <w:r>
        <w:t xml:space="preserve"> </w:t>
      </w:r>
      <w:r>
        <w:t xml:space="preserve">= objective × measurement period (814,091). This level is kept in</w:t>
      </w:r>
      <w:r>
        <w:t xml:space="preserve"> </w:t>
      </w:r>
      <w:r>
        <w:rPr>
          <w:rStyle w:val="VerbatimChar"/>
        </w:rPr>
        <w:t xml:space="preserve">ESG_Goal_Record_Classification.dta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KPI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(grantid, goal_source, text_id)</w:t>
      </w:r>
      <w:r>
        <w:t xml:space="preserve">, giving 654,123 KPIs.</w:t>
      </w:r>
    </w:p>
    <w:p>
      <w:pPr>
        <w:numPr>
          <w:ilvl w:val="1"/>
          <w:numId w:val="1008"/>
        </w:numPr>
        <w:pStyle w:val="Compact"/>
      </w:pPr>
      <w:r>
        <w:t xml:space="preserve">It collapses the measurement periods of the same objective (84,463 KPIs span more than one period).</w:t>
      </w:r>
    </w:p>
    <w:p>
      <w:pPr>
        <w:numPr>
          <w:ilvl w:val="1"/>
          <w:numId w:val="1008"/>
        </w:numPr>
        <w:pStyle w:val="Compact"/>
      </w:pPr>
      <w:r>
        <w:t xml:space="preserve">It collapses repeated objectives with identical text in the same grant, e.g. A1 = year-1 EPS and A2 = year-2 EPS (4,849 KPIs,</w:t>
      </w:r>
      <w:r>
        <w:t xml:space="preserve"> </w:t>
      </w:r>
      <w:r>
        <w:rPr>
          <w:rStyle w:val="VerbatimChar"/>
        </w:rPr>
        <w:t xml:space="preserve">kpi_duplicate_flag = 1</w:t>
      </w:r>
      <w:r>
        <w:t xml:space="preserve">).</w:t>
      </w:r>
    </w:p>
    <w:p>
      <w:pPr>
        <w:numPr>
          <w:ilvl w:val="1"/>
          <w:numId w:val="1008"/>
        </w:numPr>
        <w:pStyle w:val="Compact"/>
      </w:pPr>
      <w:r>
        <w:t xml:space="preserve">Absolute, relative and accelerated versions of a metric remain separate KPIs, because they are different contractual conditions.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collapsing across grants or executives at KPI level.</w:t>
      </w:r>
      <w:r>
        <w:t xml:space="preserve"> </w:t>
      </w:r>
      <w:r>
        <w:t xml:space="preserve">Each executive's grant is a separate award.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Distinct-KPI shares at aggregate levels.</w:t>
      </w:r>
      <w:r>
        <w:t xml:space="preserve"> </w:t>
      </w:r>
      <w:r>
        <w:t xml:space="preserve">At executive, CEO and firm level, a distinct KPI is (goal_source, text_id)</w:t>
      </w:r>
      <w:r>
        <w:t xml:space="preserve"> </w:t>
      </w:r>
      <w:r>
        <w:rPr>
          <w:iCs/>
          <w:i/>
        </w:rPr>
        <w:t xml:space="preserve">within the unit</w:t>
      </w:r>
      <w:r>
        <w:t xml:space="preserve">. The same metric used in the plans of five NEOs therefore counts once in the firm-year KPI share.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Reconciliation:</w:t>
      </w:r>
      <w:r>
        <w:t xml:space="preserve"> </w:t>
      </w:r>
      <w:r>
        <w:t xml:space="preserve">Σ</w:t>
      </w:r>
      <w:r>
        <w:t xml:space="preserve"> </w:t>
      </w:r>
      <w:r>
        <w:rPr>
          <w:rStyle w:val="VerbatimChar"/>
        </w:rPr>
        <w:t xml:space="preserve">kpi_source_count</w:t>
      </w:r>
      <w:r>
        <w:t xml:space="preserve"> </w:t>
      </w:r>
      <w:r>
        <w:t xml:space="preserve">= 814,091 = number of goal records.</w:t>
      </w:r>
    </w:p>
    <w:bookmarkEnd w:id="25"/>
    <w:bookmarkStart w:id="26" w:name="Xe2d294940a83f4828398e63d9233656317bebcb"/>
    <w:p>
      <w:pPr>
        <w:pStyle w:val="Heading2"/>
      </w:pPr>
      <w:r>
        <w:t xml:space="preserve">5. Grant and executive matching methodology</w:t>
      </w:r>
    </w:p>
    <w:p>
      <w:pPr>
        <w:numPr>
          <w:ilvl w:val="0"/>
          <w:numId w:val="1009"/>
        </w:numPr>
        <w:pStyle w:val="Compact"/>
      </w:pPr>
      <w:r>
        <w:t xml:space="preserve">Grants carry CIK, fiscal year, fiscal month and participantID directly, so no cross-year or name-based matching is used.</w:t>
      </w:r>
    </w:p>
    <w:p>
      <w:pPr>
        <w:numPr>
          <w:ilvl w:val="0"/>
          <w:numId w:val="1009"/>
        </w:numPr>
        <w:pStyle w:val="Compact"/>
      </w:pPr>
      <w:r>
        <w:t xml:space="preserve">An executive-firm-year is (CIK, FY, participantID). Identity is attached by an exact 4-field match to ParticipantFY.</w:t>
      </w:r>
      <w:r>
        <w:t xml:space="preserve"> </w:t>
      </w:r>
      <w:r>
        <w:rPr>
          <w:rStyle w:val="VerbatimChar"/>
        </w:rPr>
        <w:t xml:space="preserve">exec_identity_match_status</w:t>
      </w:r>
      <w:r>
        <w:t xml:space="preserve"> </w:t>
      </w:r>
      <w:r>
        <w:t xml:space="preserve">records matched_exact / partially_matched / unmatched; 117 grants are unmatched.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Performance-based grant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performancetype</w:t>
      </w:r>
      <w:r>
        <w:t xml:space="preserve"> </w:t>
      </w:r>
      <w:r>
        <w:t xml:space="preserve">∈ {Abs, Rel, AbsRel}; time-based = Time.</w:t>
      </w:r>
    </w:p>
    <w:p>
      <w:pPr>
        <w:numPr>
          <w:ilvl w:val="1"/>
          <w:numId w:val="1010"/>
        </w:numPr>
        <w:pStyle w:val="Compact"/>
      </w:pPr>
      <w:r>
        <w:t xml:space="preserve">Hybrid absolute+relative awards are flagged (</w:t>
      </w:r>
      <w:r>
        <w:rPr>
          <w:rStyle w:val="VerbatimChar"/>
        </w:rPr>
        <w:t xml:space="preserve">grant_is_hybrid_absrel</w:t>
      </w:r>
      <w:r>
        <w:t xml:space="preserve">).</w:t>
      </w:r>
    </w:p>
    <w:p>
      <w:pPr>
        <w:numPr>
          <w:ilvl w:val="1"/>
          <w:numId w:val="1010"/>
        </w:numPr>
        <w:pStyle w:val="Compact"/>
      </w:pPr>
      <w:r>
        <w:t xml:space="preserve">Time grants with acceleration conditions (4,496 with goals, 171 declared without goal data) are flagged</w:t>
      </w:r>
      <w:r>
        <w:t xml:space="preserve"> </w:t>
      </w:r>
      <w:r>
        <w:rPr>
          <w:rStyle w:val="VerbatimChar"/>
        </w:rPr>
        <w:t xml:space="preserve">grant_time_with_acceleration</w:t>
      </w:r>
      <w:r>
        <w:t xml:space="preserve">. They are excluded from the performance-grant denominator, but their ACC KPIs still count as performance conditions for grant-level ESG linkage.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Goal availability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grant_goal_status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perf_with_goals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233,384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perf_goals_missing (missing data ≠ no condition)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time_no_perf_condition (reliably no ESG condition)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231,168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time_with_accel_goals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time_accel_declared_goals_missing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type_missing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</w:tbl>
    <w:bookmarkEnd w:id="26"/>
    <w:bookmarkStart w:id="27" w:name="Xd7df7a24996dfdb6469650cc175c488434561cb"/>
    <w:p>
      <w:pPr>
        <w:pStyle w:val="Heading2"/>
      </w:pPr>
      <w:r>
        <w:t xml:space="preserve">6. CEO identification methodology</w:t>
      </w:r>
    </w:p>
    <w:p>
      <w:pPr>
        <w:pStyle w:val="FirstParagraph"/>
      </w:pPr>
      <w:r>
        <w:t xml:space="preserve">CEO status is read from ParticipantFY</w:t>
      </w:r>
      <w:r>
        <w:t xml:space="preserve"> </w:t>
      </w:r>
      <w:r>
        <w:rPr>
          <w:rStyle w:val="VerbatimChar"/>
        </w:rPr>
        <w:t xml:space="preserve">currentCEO</w:t>
      </w:r>
      <w:r>
        <w:t xml:space="preserve"> </w:t>
      </w:r>
      <w:r>
        <w:t xml:space="preserve">(True/False), with role codes (</w:t>
      </w:r>
      <w:r>
        <w:rPr>
          <w:rStyle w:val="VerbatimChar"/>
        </w:rPr>
        <w:t xml:space="preserve">CEO</w:t>
      </w:r>
      <w:r>
        <w:t xml:space="preserve">;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= segment CEO is never treated as company CEO;</w:t>
      </w:r>
      <w:r>
        <w:t xml:space="preserve"> </w:t>
      </w:r>
      <w:r>
        <w:rPr>
          <w:rStyle w:val="VerbatimChar"/>
        </w:rPr>
        <w:t xml:space="preserve">FO</w:t>
      </w:r>
      <w:r>
        <w:t xml:space="preserve">/</w:t>
      </w:r>
      <w:r>
        <w:rPr>
          <w:rStyle w:val="VerbatimChar"/>
        </w:rPr>
        <w:t xml:space="preserve">R</w:t>
      </w:r>
      <w:r>
        <w:t xml:space="preserve"> </w:t>
      </w:r>
      <w:r>
        <w:t xml:space="preserve">= former/retired) as a fallback. The status of each firm-year is assigned as follows: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Firm-years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unique_current_ceo_flag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CEO sample (</w:t>
            </w:r>
            <w:r>
              <w:rPr>
                <w:rStyle w:val="VerbatimChar"/>
              </w:rPr>
              <w:t xml:space="preserve">ceo_strict_sample = 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multiple_current_ceo_flags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candidates kept; none silently selected; in exception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rolecode_fallback_unique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an alternative (not strict)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rolecode_ambiguous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table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no_ceo_identified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table only</w:t>
            </w:r>
          </w:p>
        </w:tc>
      </w:tr>
    </w:tbl>
    <w:p>
      <w:pPr>
        <w:pStyle w:val="BodyText"/>
      </w:pPr>
      <w:r>
        <w:t xml:space="preserve">The exception table is</w:t>
      </w:r>
      <w:r>
        <w:t xml:space="preserve"> </w:t>
      </w:r>
      <w:r>
        <w:rPr>
          <w:rStyle w:val="VerbatimChar"/>
        </w:rPr>
        <w:t xml:space="preserve">Data/Intermediate/audit_ceo_exceptions.csv</w:t>
      </w:r>
      <w:r>
        <w:t xml:space="preserve"> </w:t>
      </w:r>
      <w:r>
        <w:t xml:space="preserve">(1,960 rows, 1,035 firm-years).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Non-CEO</w:t>
      </w:r>
      <w:r>
        <w:t xml:space="preserve"> </w:t>
      </w:r>
      <w:r>
        <w:t xml:space="preserve">executives are those with</w:t>
      </w:r>
      <w:r>
        <w:t xml:space="preserve"> </w:t>
      </w:r>
      <w:r>
        <w:rPr>
          <w:rStyle w:val="VerbatimChar"/>
        </w:rPr>
        <w:t xml:space="preserve">currentCEO</w:t>
      </w:r>
      <w:r>
        <w:t xml:space="preserve"> </w:t>
      </w:r>
      <w:r>
        <w:t xml:space="preserve">= 0 explicitly, in a firm-year with an identified CEO, who are not a CEO candidate: 130,794 executive-years.</w:t>
      </w:r>
    </w:p>
    <w:p>
      <w:pPr>
        <w:numPr>
          <w:ilvl w:val="0"/>
          <w:numId w:val="1011"/>
        </w:numPr>
        <w:pStyle w:val="Compact"/>
      </w:pPr>
      <w:r>
        <w:t xml:space="preserve">3,219 executive-years with unknown role are</w:t>
      </w:r>
      <w:r>
        <w:t xml:space="preserve"> </w:t>
      </w:r>
      <w:r>
        <w:rPr>
          <w:bCs/>
          <w:b/>
        </w:rPr>
        <w:t xml:space="preserve">excluded</w:t>
      </w:r>
      <w:r>
        <w:t xml:space="preserve"> </w:t>
      </w:r>
      <w:r>
        <w:t xml:space="preserve">from non-CEO aggregates and counted in</w:t>
      </w:r>
      <w:r>
        <w:t xml:space="preserve"> </w:t>
      </w:r>
      <w:r>
        <w:rPr>
          <w:rStyle w:val="VerbatimChar"/>
        </w:rPr>
        <w:t xml:space="preserve">nonceo_n_role_unknown_execs</w:t>
      </w:r>
      <w:r>
        <w:t xml:space="preserve">.</w:t>
      </w:r>
    </w:p>
    <w:bookmarkEnd w:id="27"/>
    <w:bookmarkStart w:id="28" w:name="Xed42624c32a5b25c74631607dd71fab05bfe125"/>
    <w:p>
      <w:pPr>
        <w:pStyle w:val="Heading2"/>
      </w:pPr>
      <w:r>
        <w:t xml:space="preserve">7. Text normalization</w:t>
      </w:r>
    </w:p>
    <w:p>
      <w:pPr>
        <w:pStyle w:val="FirstParagraph"/>
      </w:pPr>
      <w:r>
        <w:t xml:space="preserve">Applied to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NFKC normalisation</w:t>
      </w:r>
    </w:p>
    <w:p>
      <w:pPr>
        <w:numPr>
          <w:ilvl w:val="0"/>
          <w:numId w:val="1012"/>
        </w:numPr>
        <w:pStyle w:val="Compact"/>
      </w:pPr>
      <w:r>
        <w:t xml:space="preserve">Typographic quotes and dashes, and the source mojibake</w:t>
      </w:r>
      <w:r>
        <w:t xml:space="preserve"> </w:t>
      </w:r>
      <w:r>
        <w:rPr>
          <w:rStyle w:val="VerbatimChar"/>
        </w:rPr>
        <w:t xml:space="preserve">‚Äô</w:t>
      </w:r>
      <w:r>
        <w:t xml:space="preserve">, are normalised</w:t>
      </w:r>
    </w:p>
    <w:p>
      <w:pPr>
        <w:numPr>
          <w:ilvl w:val="0"/>
          <w:numId w:val="1012"/>
        </w:numPr>
        <w:pStyle w:val="Compact"/>
      </w:pPr>
      <w:r>
        <w:t xml:space="preserve">Whitespace is collapsed</w:t>
      </w:r>
    </w:p>
    <w:p>
      <w:pPr>
        <w:numPr>
          <w:ilvl w:val="0"/>
          <w:numId w:val="1012"/>
        </w:numPr>
        <w:pStyle w:val="Compact"/>
      </w:pPr>
      <w:r>
        <w:t xml:space="preserve">Trailing punctuation is stripped</w:t>
      </w:r>
    </w:p>
    <w:p>
      <w:pPr>
        <w:numPr>
          <w:ilvl w:val="0"/>
          <w:numId w:val="1012"/>
        </w:numPr>
        <w:pStyle w:val="Compact"/>
      </w:pPr>
      <w:r>
        <w:t xml:space="preserve">The result is lower-cased for the key</w:t>
      </w:r>
    </w:p>
    <w:p>
      <w:pPr>
        <w:pStyle w:val="FirstParagraph"/>
      </w:pPr>
      <w:r>
        <w:rPr>
          <w:bCs/>
          <w:b/>
        </w:rPr>
        <w:t xml:space="preserve">Classification unit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metric || lower(metricOther)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|| ctx=</w:t>
      </w:r>
      <w:r>
        <w:t xml:space="preserve"> </w:t>
      </w:r>
      <w:r>
        <w:t xml:space="preserve">only when the text is blank (§11). This gives 38,590 units. Identical text receives the identical label in every year.</w:t>
      </w:r>
    </w:p>
    <w:bookmarkEnd w:id="28"/>
    <w:bookmarkStart w:id="29" w:name="Xe9a58e2be4f1cd4d20f82fa3c3c2181cf0a54fb"/>
    <w:p>
      <w:pPr>
        <w:pStyle w:val="Heading2"/>
      </w:pPr>
      <w:r>
        <w:t xml:space="preserve">8. ESG construct definition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ESG-linked performance condition</w:t>
      </w:r>
      <w:r>
        <w:t xml:space="preserve"> </w:t>
      </w:r>
      <w:r>
        <w:t xml:space="preserve">is a performance condition whose text explicitly references an environmental, social or governance objective. The construct is about the condition itself, not about whether the firm is ESG-oriented.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Strict ESG</w:t>
      </w:r>
      <w:r>
        <w:t xml:space="preserve">: clearly identifiable E, S or G content (§10).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Extended ESG</w:t>
      </w:r>
      <w:r>
        <w:t xml:space="preserve"> </w:t>
      </w:r>
      <w:r>
        <w:t xml:space="preserve">= Strict ESG plus explicitly stakeholder-oriented conditions: customers, product/patient safety and quality, healthcare quality, privacy and fair treatment, customer-facing service reliability, and community engagement.</w:t>
      </w:r>
    </w:p>
    <w:p>
      <w:pPr>
        <w:numPr>
          <w:ilvl w:val="1"/>
          <w:numId w:val="1014"/>
        </w:numPr>
        <w:pStyle w:val="Compact"/>
      </w:pPr>
      <w:r>
        <w:t xml:space="preserve">The invariant Strict = 1 ⇒ Extended = 1 holds (asserted in code).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esg_extended_only</w:t>
      </w:r>
      <w:r>
        <w:t xml:space="preserve"> </w:t>
      </w:r>
      <w:r>
        <w:t xml:space="preserve">identifies the additions.</w:t>
      </w:r>
    </w:p>
    <w:bookmarkEnd w:id="29"/>
    <w:bookmarkStart w:id="30" w:name="Xb103321a8651e4c3b6468cfd43f64b46472d9d2"/>
    <w:p>
      <w:pPr>
        <w:pStyle w:val="Heading2"/>
      </w:pPr>
      <w:r>
        <w:t xml:space="preserve">9. Strict and Extended classification methodology</w:t>
      </w:r>
    </w:p>
    <w:p>
      <w:pPr>
        <w:pStyle w:val="FirstParagraph"/>
      </w:pPr>
      <w:r>
        <w:rPr>
          <w:bCs/>
          <w:b/>
        </w:rPr>
        <w:t xml:space="preserve">Approach.</w:t>
      </w:r>
      <w:r>
        <w:t xml:space="preserve"> </w:t>
      </w:r>
      <w:r>
        <w:t xml:space="preserve">A deterministic, versioned rule engine (</w:t>
      </w:r>
      <w:r>
        <w:rPr>
          <w:rStyle w:val="VerbatimChar"/>
        </w:rPr>
        <w:t xml:space="preserve">Code/esg_rules.py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Code/classify.py</w:t>
      </w:r>
      <w:r>
        <w:t xml:space="preserve">) with</w:t>
      </w:r>
      <w:r>
        <w:t xml:space="preserve"> </w:t>
      </w:r>
      <w:r>
        <w:rPr>
          <w:bCs/>
          <w:b/>
        </w:rPr>
        <w:t xml:space="preserve">50 regex rules</w:t>
      </w:r>
      <w:r>
        <w:t xml:space="preserve">, exported with rationale to</w:t>
      </w:r>
      <w:r>
        <w:t xml:space="preserve"> </w:t>
      </w:r>
      <w:r>
        <w:rPr>
          <w:rStyle w:val="VerbatimChar"/>
        </w:rPr>
        <w:t xml:space="preserve">Dictionaries/b_revised_rules_v1.0.csv</w:t>
      </w:r>
      <w:r>
        <w:t xml:space="preserve">. Rules run in priority order and each match</w:t>
      </w:r>
      <w:r>
        <w:t xml:space="preserve"> </w:t>
      </w:r>
      <w:r>
        <w:rPr>
          <w:iCs/>
          <w:i/>
        </w:rPr>
        <w:t xml:space="preserve">consumes</w:t>
      </w:r>
      <w:r>
        <w:t xml:space="preserve"> </w:t>
      </w:r>
      <w:r>
        <w:t xml:space="preserve">its text span:</w:t>
      </w:r>
    </w:p>
    <w:p>
      <w:pPr>
        <w:numPr>
          <w:ilvl w:val="0"/>
          <w:numId w:val="1015"/>
        </w:numPr>
        <w:pStyle w:val="Compact"/>
      </w:pPr>
      <w:r>
        <w:t xml:space="preserve">Masks for false-positive phrases. Some masks also count as non-ESG evidence, e.g. "safety and soundness" or "economic environment".</w:t>
      </w:r>
    </w:p>
    <w:p>
      <w:pPr>
        <w:numPr>
          <w:ilvl w:val="0"/>
          <w:numId w:val="1015"/>
        </w:numPr>
        <w:pStyle w:val="Compact"/>
      </w:pPr>
      <w:r>
        <w:t xml:space="preserve">Routed specific phrases, e.g. "product safety" → Extended, before generic "safety".</w:t>
      </w:r>
    </w:p>
    <w:p>
      <w:pPr>
        <w:numPr>
          <w:ilvl w:val="0"/>
          <w:numId w:val="1015"/>
        </w:numPr>
        <w:pStyle w:val="Compact"/>
      </w:pPr>
      <w:r>
        <w:t xml:space="preserve">Strict ESG rules, starting with multi-pillar ESG phrases, then E, S and G.</w:t>
      </w:r>
    </w:p>
    <w:p>
      <w:pPr>
        <w:numPr>
          <w:ilvl w:val="0"/>
          <w:numId w:val="1015"/>
        </w:numPr>
        <w:pStyle w:val="Compact"/>
      </w:pPr>
      <w:r>
        <w:t xml:space="preserve">Extended (stakeholder) rules.</w:t>
      </w:r>
    </w:p>
    <w:p>
      <w:pPr>
        <w:numPr>
          <w:ilvl w:val="0"/>
          <w:numId w:val="1015"/>
        </w:numPr>
        <w:pStyle w:val="Compact"/>
      </w:pPr>
      <w:r>
        <w:t xml:space="preserve">Ambiguous rules.</w:t>
      </w:r>
    </w:p>
    <w:p>
      <w:pPr>
        <w:numPr>
          <w:ilvl w:val="0"/>
          <w:numId w:val="1015"/>
        </w:numPr>
        <w:pStyle w:val="Compact"/>
      </w:pPr>
      <w:r>
        <w:t xml:space="preserve">ESG-adjacent exclusions.</w:t>
      </w:r>
    </w:p>
    <w:p>
      <w:pPr>
        <w:numPr>
          <w:ilvl w:val="0"/>
          <w:numId w:val="1015"/>
        </w:numPr>
        <w:pStyle w:val="Compact"/>
      </w:pPr>
      <w:r>
        <w:t xml:space="preserve">Non-specific placeholders.</w:t>
      </w:r>
    </w:p>
    <w:p>
      <w:pPr>
        <w:numPr>
          <w:ilvl w:val="0"/>
          <w:numId w:val="1015"/>
        </w:numPr>
        <w:pStyle w:val="Compact"/>
      </w:pPr>
      <w:r>
        <w:t xml:space="preserve">Non-ESG financial/operating evidence.</w:t>
      </w:r>
    </w:p>
    <w:p>
      <w:pPr>
        <w:numPr>
          <w:ilvl w:val="0"/>
          <w:numId w:val="1015"/>
        </w:numPr>
        <w:pStyle w:val="Compact"/>
      </w:pPr>
      <w:r>
        <w:t xml:space="preserve">Filler words.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Strict = 1 if any Strict rule fires. Strict is Unknown if an ambiguous or placeholder rule fires, or if nothing fires. Strict = 0 only with</w:t>
      </w:r>
      <w:r>
        <w:t xml:space="preserve"> </w:t>
      </w:r>
      <w:r>
        <w:rPr>
          <w:bCs/>
          <w:b/>
        </w:rPr>
        <w:t xml:space="preserve">positive</w:t>
      </w:r>
      <w:r>
        <w:t xml:space="preserve"> </w:t>
      </w:r>
      <w:r>
        <w:t xml:space="preserve">non-ESG, adjacent or stakeholder evidence: failing to find an ESG keyword is never sufficient for 0. Extended follows analogously.</w:t>
      </w:r>
    </w:p>
    <w:p>
      <w:pPr>
        <w:pStyle w:val="BodyText"/>
      </w:pPr>
      <w:r>
        <w:rPr>
          <w:rStyle w:val="VerbatimChar"/>
          <w:bCs/>
          <w:b/>
        </w:rPr>
        <w:t xml:space="preserve">metric</w:t>
      </w:r>
      <w:r>
        <w:rPr>
          <w:bCs/>
          <w:b/>
        </w:rPr>
        <w:t xml:space="preserve"> </w:t>
      </w:r>
      <w:r>
        <w:rPr>
          <w:bCs/>
          <w:b/>
        </w:rPr>
        <w:t xml:space="preserve">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metricOther</w:t>
      </w:r>
      <w:r>
        <w:rPr>
          <w:bCs/>
          <w:b/>
        </w:rPr>
        <w:t xml:space="preserve"> </w:t>
      </w:r>
      <w:r>
        <w:rPr>
          <w:bCs/>
          <w:b/>
        </w:rPr>
        <w:t xml:space="preserve">joint reading.</w:t>
      </w:r>
      <w:r>
        <w:t xml:space="preserve"> </w:t>
      </w:r>
      <w:r>
        <w:t xml:space="preserve">Before 2018,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 </w:t>
      </w:r>
      <w:r>
        <w:t xml:space="preserve">often holds only a qualifier (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= Cashflow,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 </w:t>
      </w:r>
      <w:r>
        <w:t xml:space="preserve">= Free). The two fields are therefore read together:</w:t>
      </w:r>
    </w:p>
    <w:p>
      <w:pPr>
        <w:numPr>
          <w:ilvl w:val="0"/>
          <w:numId w:val="1016"/>
        </w:numPr>
        <w:pStyle w:val="Compact"/>
      </w:pPr>
      <w:r>
        <w:t xml:space="preserve">Financial standardised labels (EPS, Sales, …; available 1998–2021) count as non-ESG evidence.</w:t>
      </w:r>
    </w:p>
    <w:p>
      <w:pPr>
        <w:numPr>
          <w:ilvl w:val="0"/>
          <w:numId w:val="1016"/>
        </w:numPr>
        <w:pStyle w:val="Compact"/>
      </w:pPr>
      <w:r>
        <w:t xml:space="preserve">"Customer Satisfaction" counts as Extended evidence.</w:t>
      </w:r>
    </w:p>
    <w:p>
      <w:pPr>
        <w:numPr>
          <w:ilvl w:val="0"/>
          <w:numId w:val="1016"/>
        </w:numPr>
        <w:pStyle w:val="Compact"/>
      </w:pPr>
      <w:r>
        <w:t xml:space="preserve">Placeholder labels (Other, Individual, Vague, Operational, Non-Financial, Business Unit, Discretionary) carry no evidence.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2018-taxonomy ESG labels and ISS ESG metricTypes are never used.</w:t>
      </w:r>
    </w:p>
    <w:p>
      <w:pPr>
        <w:pStyle w:val="FirstParagraph"/>
      </w:pPr>
      <w:r>
        <w:rPr>
          <w:bCs/>
          <w:b/>
        </w:rPr>
        <w:t xml:space="preserve">Starting point: AGHJ (2025).</w:t>
      </w:r>
      <w:r>
        <w:t xml:space="preserve"> </w:t>
      </w:r>
      <w:r>
        <w:t xml:space="preserve">The 953 terms are reproduced verbatim (</w:t>
      </w:r>
      <w:r>
        <w:rPr>
          <w:rStyle w:val="VerbatimChar"/>
        </w:rPr>
        <w:t xml:space="preserve">a_paper_dictionary_AGHJ2025_953.csv</w:t>
      </w:r>
      <w:r>
        <w:t xml:space="preserve">, with page numbers). Only 3 of the 81 removed terms are disclosed in A.4 (complaint, cyber, trust); the other 78 are</w:t>
      </w:r>
      <w:r>
        <w:t xml:space="preserve"> </w:t>
      </w:r>
      <w:r>
        <w:rPr>
          <w:bCs/>
          <w:b/>
        </w:rPr>
        <w:t xml:space="preserve">not reconstructed</w:t>
      </w:r>
      <w:r>
        <w:t xml:space="preserve">. Every one of the 953 terms was reviewed against the 1998–2021 texts (</w:t>
      </w:r>
      <w:r>
        <w:rPr>
          <w:rStyle w:val="VerbatimChar"/>
        </w:rPr>
        <w:t xml:space="preserve">b_paper_keyword_review_v1.0.csv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retained Strict (≥90% of their matches remain Strict)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retained with context exclusions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keyword alone insufficient → context required (mostly Strict / mostly non-ESG / mixed in 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/ 84 / 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reassigned to Extended-only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as ESG-adjacent by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generic / false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occurrence in ISS 1998–2021 (112 covered by a v1 rule; 439 not carried forward/untested)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551</w:t>
            </w:r>
          </w:p>
        </w:tc>
      </w:tr>
    </w:tbl>
    <w:p>
      <w:pPr>
        <w:pStyle w:val="BodyText"/>
      </w:pPr>
      <w:r>
        <w:t xml:space="preserve">New expressions not matched by any AGHJ term are listed in</w:t>
      </w:r>
      <w:r>
        <w:t xml:space="preserve"> </w:t>
      </w:r>
      <w:r>
        <w:rPr>
          <w:rStyle w:val="VerbatimChar"/>
        </w:rPr>
        <w:t xml:space="preserve">b_new_expressions_v1.0.csv</w:t>
      </w:r>
      <w:r>
        <w:t xml:space="preserve">. Examples: EH&amp;S, HS&amp;E, days-away-restricted variants, D&amp;I / DE&amp;I, "ethical conduct", flaring, reportable/off-property releases, scrubbers, reclamation, gas-leak backlogs, corporate well-being, staff/teller turnover. The change log is</w:t>
      </w:r>
      <w:r>
        <w:t xml:space="preserve"> </w:t>
      </w:r>
      <w:r>
        <w:rPr>
          <w:rStyle w:val="VerbatimChar"/>
        </w:rPr>
        <w:t xml:space="preserve">Dictionaries/c_change_log.csv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No trend calibration.</w:t>
      </w:r>
      <w:r>
        <w:t xml:space="preserve"> </w:t>
      </w:r>
      <w:r>
        <w:t xml:space="preserve">No rule references years, ISS categories or trend targets. Rule development used frequency-ranked and random reviews of all years jointly.</w:t>
      </w:r>
    </w:p>
    <w:bookmarkEnd w:id="30"/>
    <w:bookmarkStart w:id="31" w:name="X368133f5abfa81dfdd82325b280fc147594b936"/>
    <w:p>
      <w:pPr>
        <w:pStyle w:val="Heading2"/>
      </w:pPr>
      <w:r>
        <w:t xml:space="preserve">10. E, S and G coding rules (summary; exact regex in</w:t>
      </w:r>
      <w:r>
        <w:t xml:space="preserve"> </w:t>
      </w:r>
      <w:r>
        <w:rPr>
          <w:rStyle w:val="VerbatimChar"/>
        </w:rPr>
        <w:t xml:space="preserve">b_revised_rules_v1.0.csv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Environmental (E):</w:t>
      </w:r>
    </w:p>
    <w:p>
      <w:pPr>
        <w:numPr>
          <w:ilvl w:val="0"/>
          <w:numId w:val="1017"/>
        </w:numPr>
        <w:pStyle w:val="Compact"/>
      </w:pPr>
      <w:r>
        <w:t xml:space="preserve">GHG, carbon, CO2, methane, SF6, NOx, SO2, flaring, LDAR, scope 1–3, net zero, scrubbers</w:t>
      </w:r>
    </w:p>
    <w:p>
      <w:pPr>
        <w:numPr>
          <w:ilvl w:val="0"/>
          <w:numId w:val="1017"/>
        </w:numPr>
        <w:pStyle w:val="Compact"/>
      </w:pPr>
      <w:r>
        <w:t xml:space="preserve">Climate change, action, risk or policy; TCFD</w:t>
      </w:r>
    </w:p>
    <w:p>
      <w:pPr>
        <w:numPr>
          <w:ilvl w:val="0"/>
          <w:numId w:val="1017"/>
        </w:numPr>
        <w:pStyle w:val="Compact"/>
      </w:pPr>
      <w:r>
        <w:t xml:space="preserve">Renewable energy</w:t>
      </w:r>
      <w:r>
        <w:t xml:space="preserve"> </w:t>
      </w:r>
      <w:r>
        <w:rPr>
          <w:iCs/>
          <w:i/>
        </w:rPr>
        <w:t xml:space="preserve">adoption</w:t>
      </w:r>
      <w:r>
        <w:t xml:space="preserve">, carbon-free capacity share, electrification, energy-use/intensity reduction</w:t>
      </w:r>
    </w:p>
    <w:p>
      <w:pPr>
        <w:numPr>
          <w:ilvl w:val="0"/>
          <w:numId w:val="1017"/>
        </w:numPr>
        <w:pStyle w:val="Compact"/>
      </w:pPr>
      <w:r>
        <w:t xml:space="preserve">Water use and quality, wastewater</w:t>
      </w:r>
    </w:p>
    <w:p>
      <w:pPr>
        <w:numPr>
          <w:ilvl w:val="0"/>
          <w:numId w:val="1017"/>
        </w:numPr>
        <w:pStyle w:val="Compact"/>
      </w:pPr>
      <w:r>
        <w:t xml:space="preserve">Waste, recycling, plastics, landfill</w:t>
      </w:r>
    </w:p>
    <w:p>
      <w:pPr>
        <w:numPr>
          <w:ilvl w:val="0"/>
          <w:numId w:val="1017"/>
        </w:numPr>
        <w:pStyle w:val="Compact"/>
      </w:pPr>
      <w:r>
        <w:t xml:space="preserve">Spills and environmental releases</w:t>
      </w:r>
    </w:p>
    <w:p>
      <w:pPr>
        <w:numPr>
          <w:ilvl w:val="0"/>
          <w:numId w:val="1017"/>
        </w:numPr>
        <w:pStyle w:val="Compact"/>
      </w:pPr>
      <w:r>
        <w:t xml:space="preserve">The word "environmental" (business senses of "environment" are masked); biodiversity, reclamation, pollution</w:t>
      </w:r>
    </w:p>
    <w:p>
      <w:pPr>
        <w:pStyle w:val="FirstParagraph"/>
      </w:pPr>
      <w:r>
        <w:rPr>
          <w:bCs/>
          <w:b/>
        </w:rPr>
        <w:t xml:space="preserve">Social (S):</w:t>
      </w:r>
    </w:p>
    <w:p>
      <w:pPr>
        <w:numPr>
          <w:ilvl w:val="0"/>
          <w:numId w:val="1018"/>
        </w:numPr>
        <w:pStyle w:val="Compact"/>
      </w:pPr>
      <w:r>
        <w:t xml:space="preserve">Occupational, process and public safety (safety, TRIR, DART, OSHA, lost time, fatalities, SIF, vehicle accidents, near misses, HSE/EHS/EH&amp;S, process safety, gas leaks/damage prevention, wildfire mitigation, NRC findings)</w:t>
      </w:r>
    </w:p>
    <w:p>
      <w:pPr>
        <w:numPr>
          <w:ilvl w:val="0"/>
          <w:numId w:val="1018"/>
        </w:numPr>
        <w:pStyle w:val="Compact"/>
      </w:pPr>
      <w:r>
        <w:t xml:space="preserve">DEI, including supplier diversity</w:t>
      </w:r>
    </w:p>
    <w:p>
      <w:pPr>
        <w:numPr>
          <w:ilvl w:val="0"/>
          <w:numId w:val="1018"/>
        </w:numPr>
        <w:pStyle w:val="Compact"/>
      </w:pPr>
      <w:r>
        <w:t xml:space="preserve">Specific human capital: engagement/satisfaction surveys, voluntary or employee turnover, retention of talent, training programmes, wellbeing, mental health, human capital</w:t>
      </w:r>
    </w:p>
    <w:p>
      <w:pPr>
        <w:numPr>
          <w:ilvl w:val="0"/>
          <w:numId w:val="1018"/>
        </w:numPr>
        <w:pStyle w:val="Compact"/>
      </w:pPr>
      <w:r>
        <w:t xml:space="preserve">Community investment, volunteering, philanthropy</w:t>
      </w:r>
    </w:p>
    <w:p>
      <w:pPr>
        <w:numPr>
          <w:ilvl w:val="0"/>
          <w:numId w:val="1018"/>
        </w:numPr>
        <w:pStyle w:val="Compact"/>
      </w:pPr>
      <w:r>
        <w:t xml:space="preserve">Defined social-access goals: affordable-housing goals, duty to serve, financial inclusion</w:t>
      </w:r>
    </w:p>
    <w:p>
      <w:pPr>
        <w:numPr>
          <w:ilvl w:val="0"/>
          <w:numId w:val="1018"/>
        </w:numPr>
        <w:pStyle w:val="Compact"/>
      </w:pPr>
      <w:r>
        <w:t xml:space="preserve">Human rights and labour standards</w:t>
      </w:r>
    </w:p>
    <w:p>
      <w:pPr>
        <w:pStyle w:val="FirstParagraph"/>
      </w:pPr>
      <w:r>
        <w:rPr>
          <w:bCs/>
          <w:b/>
        </w:rPr>
        <w:t xml:space="preserve">Governance (G):</w:t>
      </w:r>
      <w:r>
        <w:t xml:space="preserve"> </w:t>
      </w:r>
      <w:r>
        <w:t xml:space="preserve">ethics, code of conduct, anti-corruption/bribery, FCPA, whistle-blowing, corporate governance, board composition/diversity/evaluation, say-on-pay.</w:t>
      </w:r>
    </w:p>
    <w:p>
      <w:pPr>
        <w:pStyle w:val="BodyText"/>
      </w:pPr>
      <w:r>
        <w:rPr>
          <w:bCs/>
          <w:b/>
        </w:rPr>
        <w:t xml:space="preserve">General (multi-pillar):</w:t>
      </w:r>
    </w:p>
    <w:p>
      <w:pPr>
        <w:numPr>
          <w:ilvl w:val="0"/>
          <w:numId w:val="1019"/>
        </w:numPr>
        <w:pStyle w:val="Compact"/>
      </w:pPr>
      <w:r>
        <w:t xml:space="preserve">ESG, CSR, corporate citizenship and ESG ratings (DJSI, GRESB, Sustainalytics, CDP, GRI): Strict = 1, with E/S/G</w:t>
      </w:r>
      <w:r>
        <w:t xml:space="preserve"> </w:t>
      </w:r>
      <w:r>
        <w:rPr>
          <w:bCs/>
          <w:b/>
        </w:rPr>
        <w:t xml:space="preserve">unknown</w:t>
      </w:r>
      <w:r>
        <w:t xml:space="preserve"> </w:t>
      </w:r>
      <w:r>
        <w:t xml:space="preserve">unless a pillar term co-occurs.</w:t>
      </w:r>
    </w:p>
    <w:p>
      <w:pPr>
        <w:numPr>
          <w:ilvl w:val="0"/>
          <w:numId w:val="1019"/>
        </w:numPr>
        <w:pStyle w:val="Compact"/>
      </w:pPr>
      <w:r>
        <w:t xml:space="preserve">"Sustainability" is treated as a qualifier when it accompanies a pillar term, e.g. "Environmental Sustainability" → E only.</w:t>
      </w:r>
    </w:p>
    <w:bookmarkEnd w:id="31"/>
    <w:bookmarkStart w:id="32" w:name="Xb975ebbf126adb6c1d608e3fe3803a414d490b7"/>
    <w:p>
      <w:pPr>
        <w:pStyle w:val="Heading2"/>
      </w:pPr>
      <w:r>
        <w:t xml:space="preserve">11. Treatment of ambiguous and generic metrics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Placeholders</w:t>
      </w:r>
      <w:r>
        <w:t xml:space="preserve"> </w:t>
      </w:r>
      <w:r>
        <w:t xml:space="preserve">(Individual Performance, Strategic Objectives, Corporate Goals, Discretionary, Non-Financial, Other, Leadership, Operational Goals, Scorecard) → Unknown. They remain Unknown even when a financial term co-occurs, e.g. "EPS and Individual Performance".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Ambiguous</w:t>
      </w:r>
      <w:r>
        <w:t xml:space="preserve"> </w:t>
      </w:r>
      <w:r>
        <w:t xml:space="preserve">terms → Strict Unknown:</w:t>
      </w:r>
    </w:p>
    <w:p>
      <w:pPr>
        <w:numPr>
          <w:ilvl w:val="1"/>
          <w:numId w:val="1021"/>
        </w:numPr>
        <w:pStyle w:val="Compact"/>
      </w:pPr>
      <w:r>
        <w:t xml:space="preserve">Energy efficiency / DSM (an environmental vs operating-cost objective)</w:t>
      </w:r>
    </w:p>
    <w:p>
      <w:pPr>
        <w:numPr>
          <w:ilvl w:val="1"/>
          <w:numId w:val="1021"/>
        </w:numPr>
        <w:pStyle w:val="Compact"/>
      </w:pPr>
      <w:r>
        <w:t xml:space="preserve">Bare "water", "waste", "green", "clean", "renewables"</w:t>
      </w:r>
    </w:p>
    <w:p>
      <w:pPr>
        <w:numPr>
          <w:ilvl w:val="1"/>
          <w:numId w:val="1021"/>
        </w:numPr>
        <w:pStyle w:val="Compact"/>
      </w:pPr>
      <w:r>
        <w:t xml:space="preserve">Notices of violation without environmental context</w:t>
      </w:r>
    </w:p>
    <w:p>
      <w:pPr>
        <w:numPr>
          <w:ilvl w:val="1"/>
          <w:numId w:val="1021"/>
        </w:numPr>
        <w:pStyle w:val="Compact"/>
      </w:pPr>
      <w:r>
        <w:t xml:space="preserve">Bare "integrity", "social", "turnover", "attrition"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ESG-adjacent but excluded by definition</w:t>
      </w:r>
      <w:r>
        <w:t xml:space="preserve"> </w:t>
      </w:r>
      <w:r>
        <w:t xml:space="preserve">(0 / 0, flagged in</w:t>
      </w:r>
      <w:r>
        <w:t xml:space="preserve"> </w:t>
      </w:r>
      <w:r>
        <w:rPr>
          <w:rStyle w:val="VerbatimChar"/>
        </w:rPr>
        <w:t xml:space="preserve">adjacent_flags</w:t>
      </w:r>
      <w:r>
        <w:t xml:space="preserve">):</w:t>
      </w:r>
    </w:p>
    <w:p>
      <w:pPr>
        <w:numPr>
          <w:ilvl w:val="1"/>
          <w:numId w:val="1022"/>
        </w:numPr>
        <w:pStyle w:val="Compact"/>
      </w:pPr>
      <w:r>
        <w:t xml:space="preserve">Generic compliance, regulatory exams, risk management, internal controls, SOX, audit, cybersecurity, AML/BSA</w:t>
      </w:r>
    </w:p>
    <w:p>
      <w:pPr>
        <w:numPr>
          <w:ilvl w:val="1"/>
          <w:numId w:val="1022"/>
        </w:numPr>
        <w:pStyle w:val="Compact"/>
      </w:pPr>
      <w:r>
        <w:t xml:space="preserve">Generic talent, succession, leadership development, culture, HR, hiring, teamwork</w:t>
      </w:r>
    </w:p>
    <w:p>
      <w:pPr>
        <w:numPr>
          <w:ilvl w:val="1"/>
          <w:numId w:val="1022"/>
        </w:numPr>
        <w:pStyle w:val="Compact"/>
      </w:pPr>
      <w:r>
        <w:t xml:space="preserve">Renewable-energy business-line execution (wind/solar projects, renewable portfolio growth)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Blank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 </w:t>
      </w:r>
      <w:r>
        <w:t xml:space="preserve">both blank/placeholder; 60,986 goal rows, overwhelmingly pre-2018 relative TSR/stock-price goals):</w:t>
      </w:r>
    </w:p>
    <w:p>
      <w:pPr>
        <w:numPr>
          <w:ilvl w:val="1"/>
          <w:numId w:val="1023"/>
        </w:numPr>
        <w:pStyle w:val="Compact"/>
      </w:pPr>
      <w:r>
        <w:t xml:space="preserve">The</w:t>
      </w:r>
      <w:r>
        <w:t xml:space="preserve"> </w:t>
      </w:r>
      <w:r>
        <w:rPr>
          <w:iCs/>
          <w:i/>
        </w:rPr>
        <w:t xml:space="preserve">time-consistent</w:t>
      </w:r>
      <w:r>
        <w:t xml:space="preserve"> </w:t>
      </w:r>
      <w:r>
        <w:t xml:space="preserve">financial metricType (Accounting; Stock Price = Market-related) is admitted as</w:t>
      </w:r>
      <w:r>
        <w:t xml:space="preserve"> </w:t>
      </w:r>
      <w:r>
        <w:rPr>
          <w:bCs/>
          <w:b/>
        </w:rPr>
        <w:t xml:space="preserve">structured context</w:t>
      </w:r>
      <w:r>
        <w:t xml:space="preserve"> </w:t>
      </w:r>
      <w:r>
        <w:t xml:space="preserve">→ 0, with</w:t>
      </w:r>
      <w:r>
        <w:t xml:space="preserve"> </w:t>
      </w:r>
      <w:r>
        <w:rPr>
          <w:rStyle w:val="VerbatimChar"/>
        </w:rPr>
        <w:t xml:space="preserve">classification_method = structured_context</w:t>
      </w:r>
      <w:r>
        <w:t xml:space="preserve"> </w:t>
      </w:r>
      <w:r>
        <w:t xml:space="preserve">and confidence medium.</w:t>
      </w:r>
    </w:p>
    <w:p>
      <w:pPr>
        <w:numPr>
          <w:ilvl w:val="1"/>
          <w:numId w:val="1023"/>
        </w:numPr>
        <w:pStyle w:val="Compact"/>
      </w:pPr>
      <w:r>
        <w:t xml:space="preserve">The text-only label is kept separately as Unknown (</w:t>
      </w:r>
      <w:r>
        <w:rPr>
          <w:rStyle w:val="VerbatimChar"/>
        </w:rPr>
        <w:t xml:space="preserve">esg_strict_textonly</w:t>
      </w:r>
      <w:r>
        <w:t xml:space="preserve">).</w:t>
      </w:r>
    </w:p>
    <w:p>
      <w:pPr>
        <w:numPr>
          <w:ilvl w:val="1"/>
          <w:numId w:val="1023"/>
        </w:numPr>
        <w:pStyle w:val="Compact"/>
      </w:pPr>
      <w:r>
        <w:t xml:space="preserve">Other blank units → Unknown (</w:t>
      </w:r>
      <w:r>
        <w:rPr>
          <w:rStyle w:val="VerbatimChar"/>
        </w:rPr>
        <w:t xml:space="preserve">no_text</w:t>
      </w:r>
      <w:r>
        <w:t xml:space="preserve">). Blank units with a 2018 ESG label → Unknown (</w:t>
      </w:r>
      <w:r>
        <w:rPr>
          <w:rStyle w:val="VerbatimChar"/>
        </w:rPr>
        <w:t xml:space="preserve">iss_esg_label_only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Mixed texts</w:t>
      </w:r>
      <w:r>
        <w:t xml:space="preserve"> </w:t>
      </w:r>
      <w:r>
        <w:t xml:space="preserve">("EPS and Safety") → Strict = 1, flagged</w:t>
      </w:r>
      <w:r>
        <w:t xml:space="preserve"> </w:t>
      </w:r>
      <w:r>
        <w:rPr>
          <w:rStyle w:val="VerbatimChar"/>
        </w:rPr>
        <w:t xml:space="preserve">mixed_esg_and_financial_text</w:t>
      </w:r>
      <w:r>
        <w:t xml:space="preserve">. Seven units with an ESG term under a financial</w:t>
      </w:r>
      <w:r>
        <w:t xml:space="preserve"> 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label are flagged</w:t>
      </w:r>
      <w:r>
        <w:t xml:space="preserve"> </w:t>
      </w:r>
      <w:r>
        <w:rPr>
          <w:rStyle w:val="VerbatimChar"/>
        </w:rPr>
        <w:t xml:space="preserve">esg_term_under_financial_label</w:t>
      </w:r>
      <w:r>
        <w:t xml:space="preserve"> </w:t>
      </w:r>
      <w:r>
        <w:t xml:space="preserve">for review.</w:t>
      </w:r>
    </w:p>
    <w:bookmarkEnd w:id="32"/>
    <w:bookmarkStart w:id="33" w:name="Xfd1bea545faa783eef51fb462b9732a433434cf"/>
    <w:p>
      <w:pPr>
        <w:pStyle w:val="Heading2"/>
      </w:pPr>
      <w:r>
        <w:t xml:space="preserve">12. Classification verification results</w:t>
      </w:r>
    </w:p>
    <w:p>
      <w:pPr>
        <w:pStyle w:val="FirstParagraph"/>
      </w:pPr>
      <w:r>
        <w:rPr>
          <w:bCs/>
          <w:b/>
        </w:rPr>
        <w:t xml:space="preserve">Development (completed).</w:t>
      </w:r>
      <w:r>
        <w:t xml:space="preserve"> </w:t>
      </w:r>
      <w:r>
        <w:t xml:space="preserve">Rules were developed on all years jointly by:</w:t>
      </w:r>
    </w:p>
    <w:p>
      <w:pPr>
        <w:numPr>
          <w:ilvl w:val="0"/>
          <w:numId w:val="1024"/>
        </w:numPr>
        <w:pStyle w:val="Compact"/>
      </w:pPr>
      <w:r>
        <w:t xml:space="preserve">reviewing the 402 AGHJ keywords that occur in the data, with their most frequent and their non-ISS matches;</w:t>
      </w:r>
    </w:p>
    <w:p>
      <w:pPr>
        <w:numPr>
          <w:ilvl w:val="0"/>
          <w:numId w:val="1024"/>
        </w:numPr>
        <w:pStyle w:val="Compact"/>
      </w:pPr>
      <w:r>
        <w:t xml:space="preserve">reviewing the top Unknown, Strict = 1, Extended-only and ambiguous units by frequency;</w:t>
      </w:r>
    </w:p>
    <w:p>
      <w:pPr>
        <w:numPr>
          <w:ilvl w:val="0"/>
          <w:numId w:val="1024"/>
        </w:numPr>
        <w:pStyle w:val="Compact"/>
      </w:pPr>
      <w:r>
        <w:t xml:space="preserve">reviewing a random sample of 150 low-frequency Strict = 1 units;</w:t>
      </w:r>
    </w:p>
    <w:p>
      <w:pPr>
        <w:numPr>
          <w:ilvl w:val="0"/>
          <w:numId w:val="1024"/>
        </w:numPr>
        <w:pStyle w:val="Compact"/>
      </w:pPr>
      <w:r>
        <w:t xml:space="preserve">reviewing a random sample of 300 Strict = 0 units;</w:t>
      </w:r>
    </w:p>
    <w:p>
      <w:pPr>
        <w:numPr>
          <w:ilvl w:val="0"/>
          <w:numId w:val="1024"/>
        </w:numPr>
        <w:pStyle w:val="Compact"/>
      </w:pPr>
      <w:r>
        <w:t xml:space="preserve">reviewing all paper-versus-revised disagreements.</w:t>
      </w:r>
    </w:p>
    <w:p>
      <w:pPr>
        <w:pStyle w:val="FirstParagraph"/>
      </w:pPr>
      <w:r>
        <w:t xml:space="preserve">Each error found led to a rule change, documented in</w:t>
      </w:r>
      <w:r>
        <w:t xml:space="preserve"> </w:t>
      </w:r>
      <w:r>
        <w:rPr>
          <w:rStyle w:val="VerbatimChar"/>
        </w:rPr>
        <w:t xml:space="preserve">c_change_log.csv</w:t>
      </w:r>
      <w:r>
        <w:t xml:space="preserve">. Examples: "inclusive of dividends", TV-audience "women viewers", "scrubber securitization", "NOV" (National Oilwell Varco), "Retain key talent".</w:t>
      </w:r>
    </w:p>
    <w:p>
      <w:pPr>
        <w:pStyle w:val="BodyText"/>
      </w:pPr>
      <w:r>
        <w:rPr>
          <w:bCs/>
          <w:b/>
        </w:rPr>
        <w:t xml:space="preserve">Independent validation (pending human labels).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Rules frozen.</w:t>
      </w:r>
      <w:r>
        <w:t xml:space="preserve"> </w:t>
      </w:r>
      <w:r>
        <w:t xml:space="preserve">Rules MD5 =</w:t>
      </w:r>
      <w:r>
        <w:t xml:space="preserve"> </w:t>
      </w:r>
      <w:r>
        <w:rPr>
          <w:rStyle w:val="VerbatimChar"/>
        </w:rPr>
        <w:t xml:space="preserve">9cf1cf0d751f3822425d87253f33addb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Sample.</w:t>
      </w:r>
      <w:r>
        <w:t xml:space="preserve"> </w:t>
      </w:r>
      <w:r>
        <w:t xml:space="preserve">601 units drawn with seed 20261031 across 32 strata: period of use (pre-2018 only / post-2018 only / both) × predicted class (Strict / Extended-only / non-ESG / Unknown) × frequency (1 / 2–9 / 10+ rows).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No repeated descriptions.</w:t>
      </w:r>
      <w:r>
        <w:t xml:space="preserve"> </w:t>
      </w:r>
      <w:r>
        <w:t xml:space="preserve">Each unit is sampled once, so repeated occurrences of the same description are not double counted.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Weights.</w:t>
      </w:r>
      <w:r>
        <w:t xml:space="preserve"> </w:t>
      </w:r>
      <w:r>
        <w:t xml:space="preserve">Unit weights N_h/n_h, and row weights N_h/n_h × n_goal_rows.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Materials.</w:t>
      </w:r>
      <w:r>
        <w:t xml:space="preserve"> </w:t>
      </w:r>
      <w:r>
        <w:t xml:space="preserve">Blind coding sheets for two coders, the answer key and guidelines (</w:t>
      </w:r>
      <w:r>
        <w:rPr>
          <w:rStyle w:val="VerbatimChar"/>
        </w:rPr>
        <w:t xml:space="preserve">Validation/CODING_GUIDELINES.md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Scoring (Step 13).</w:t>
      </w:r>
      <w:r>
        <w:t xml:space="preserve"> </w:t>
      </w:r>
      <w:r>
        <w:t xml:space="preserve">Computes precision, recall, F1, FPR, FNR and Unknown rate by period, dimension and frequency; stratum-weighted, with 500-draw bootstrap CIs over units; and Cohen's kappa.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Until labels exist,</w:t>
      </w:r>
      <w:r>
        <w:t xml:space="preserve"> </w:t>
      </w:r>
      <w:r>
        <w:rPr>
          <w:rStyle w:val="VerbatimChar"/>
        </w:rPr>
        <w:t xml:space="preserve">Validation/validation_status_v1.0.json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pending_human_labels</w:t>
      </w:r>
      <w:r>
        <w:t xml:space="preserve">, and</w:t>
      </w:r>
      <w:r>
        <w:t xml:space="preserve"> </w:t>
      </w:r>
      <w:r>
        <w:rPr>
          <w:bCs/>
          <w:b/>
        </w:rPr>
        <w:t xml:space="preserve">no accuracy figure is claimed.</w:t>
      </w:r>
    </w:p>
    <w:p>
      <w:pPr>
        <w:pStyle w:val="FirstParagraph"/>
      </w:pPr>
      <w:r>
        <w:rPr>
          <w:bCs/>
          <w:b/>
        </w:rPr>
        <w:t xml:space="preserve">Comparison with AGHJ (2025)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Validation/e_*.csv</w:t>
      </w:r>
      <w:r>
        <w:t xml:space="preserve">; goal-record level, 1998–2021):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 Strict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Strict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AGHJ = 1 (53,123 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AGHJ = 0 (760,968 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648,557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111,836</w:t>
            </w:r>
          </w:p>
        </w:tc>
      </w:tr>
    </w:tbl>
    <w:p>
      <w:pPr>
        <w:pStyle w:val="BodyText"/>
      </w:pPr>
      <w:r>
        <w:t xml:space="preserve">The 23,792 AGHJ-positive goal rows that v1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classify as Strict ESG (16,617 set to 0, 7,175 Unknown) fall into these mutually exclusive unit categories: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Extended-only (customer retention, SAIDI, patient satisfaction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ESG-adjacent by definition (regulatory compliance, succession, culture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Unknown, no adjacent flag (e.g. "Leadership", "Integrity", "Energy efficiency")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or false positive (cost/debt "reduction", "policies in force", loan-covenant "violations", company names)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8,428</w:t>
            </w:r>
          </w:p>
        </w:tc>
      </w:tr>
    </w:tbl>
    <w:p>
      <w:pPr>
        <w:pStyle w:val="BodyText"/>
      </w:pPr>
      <w:r>
        <w:t xml:space="preserve">In the other direction, v1 identifies 88 units (575 rows) as Strict ESG that no AGHJ term matches (</w:t>
      </w:r>
      <w:r>
        <w:rPr>
          <w:rStyle w:val="VerbatimChar"/>
        </w:rPr>
        <w:t xml:space="preserve">b_new_expressions_v1.0.csv</w:t>
      </w:r>
      <w:r>
        <w:t xml:space="preserve">). The AGHJ method also has no Unknown state: blank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 </w:t>
      </w:r>
      <w:r>
        <w:t xml:space="preserve">(up to 68% of rows in early years) is silently treated as non-ESG.</w:t>
      </w:r>
    </w:p>
    <w:bookmarkEnd w:id="33"/>
    <w:bookmarkStart w:id="34" w:name="X916a1da25f46c4f1f873539c7fbe98c9259b2b8"/>
    <w:p>
      <w:pPr>
        <w:pStyle w:val="Heading2"/>
      </w:pPr>
      <w:r>
        <w:t xml:space="preserve">13. Missingness and coverage</w:t>
      </w:r>
    </w:p>
    <w:p>
      <w:pPr>
        <w:pStyle w:val="FirstParagraph"/>
      </w:pPr>
      <w:r>
        <w:t xml:space="preserve">Goal-record level (</w:t>
      </w:r>
      <w:r>
        <w:rPr>
          <w:rStyle w:val="VerbatimChar"/>
        </w:rPr>
        <w:t xml:space="preserve">Annual_Analysis/annual_text_coverage.csv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metricOther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Strict Unknown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Despite the very different blank-text rates, Unknown shares are similar across years: blank financial-label rows are informative, and structured context is used.</w:t>
      </w:r>
    </w:p>
    <w:p>
      <w:pPr>
        <w:pStyle w:val="BodyText"/>
      </w:pPr>
      <w:r>
        <w:t xml:space="preserve">At unit level, adoption Unknown is large because one unresolved KPI in any performance grant leaves a non-adopting unit Unknown. Annual bonus plans often contain "Individual performance". Hence every share is published with</w:t>
      </w:r>
      <w:r>
        <w:t xml:space="preserve"> </w:t>
      </w:r>
      <w:r>
        <w:rPr>
          <w:rStyle w:val="VerbatimChar"/>
        </w:rPr>
        <w:t xml:space="preserve">_lb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_ub</w:t>
      </w:r>
      <w:r>
        <w:t xml:space="preserve"> </w:t>
      </w:r>
      <w:r>
        <w:t xml:space="preserve">and coverage, and adoption is reported as lower bound / complete-case / upper bound.</w:t>
      </w:r>
    </w:p>
    <w:bookmarkEnd w:id="34"/>
    <w:bookmarkStart w:id="35" w:name="X40fb8f87a4203a41b8d476f115e429cf76edb13"/>
    <w:p>
      <w:pPr>
        <w:pStyle w:val="Heading2"/>
      </w:pPr>
      <w:r>
        <w:t xml:space="preserve">14. Exact numerator / denominator definitions</w:t>
      </w:r>
    </w:p>
    <w:p>
      <w:pPr>
        <w:pStyle w:val="FirstParagraph"/>
      </w:pPr>
      <w:r>
        <w:t xml:space="preserve">Full details are in</w:t>
      </w:r>
      <w:r>
        <w:t xml:space="preserve"> </w:t>
      </w:r>
      <w:r>
        <w:rPr>
          <w:rStyle w:val="VerbatimChar"/>
        </w:rPr>
        <w:t xml:space="preserve">Documentation/variable_dictionary.csv</w:t>
      </w:r>
      <w:r>
        <w:t xml:space="preserve">, which gives the formula, numerator, denominator, values, missing interpretation and source for all 459 variables.</w:t>
      </w:r>
    </w:p>
    <w:p>
      <w:pPr>
        <w:pStyle w:val="BodyText"/>
      </w:pPr>
      <w:r>
        <w:rPr>
          <w:bCs/>
          <w:b/>
        </w:rPr>
        <w:t xml:space="preserve">Grant ESG</w:t>
      </w:r>
    </w:p>
    <w:p>
      <w:pPr>
        <w:numPr>
          <w:ilvl w:val="0"/>
          <w:numId w:val="1026"/>
        </w:numPr>
        <w:pStyle w:val="Compact"/>
      </w:pPr>
      <w:r>
        <w:t xml:space="preserve">1 = ≥1 KPI is ESG.</w:t>
      </w:r>
    </w:p>
    <w:p>
      <w:pPr>
        <w:numPr>
          <w:ilvl w:val="0"/>
          <w:numId w:val="1026"/>
        </w:numPr>
        <w:pStyle w:val="Compact"/>
      </w:pPr>
      <w:r>
        <w:t xml:space="preserve">0 = all KPIs are 0, or the grant is a time grant with no performance condition.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.</w:t>
      </w:r>
      <w:r>
        <w:t xml:space="preserve"> </w:t>
      </w:r>
      <w:r>
        <w:t xml:space="preserve">otherwise (including performance grants with missing goal data).</w:t>
      </w:r>
    </w:p>
    <w:p>
      <w:pPr>
        <w:pStyle w:val="FirstParagraph"/>
      </w:pPr>
      <w:r>
        <w:rPr>
          <w:bCs/>
          <w:b/>
        </w:rPr>
        <w:t xml:space="preserve">Adoption (unit)</w:t>
      </w:r>
    </w:p>
    <w:p>
      <w:pPr>
        <w:numPr>
          <w:ilvl w:val="0"/>
          <w:numId w:val="1027"/>
        </w:numPr>
        <w:pStyle w:val="Compact"/>
      </w:pPr>
      <w:r>
        <w:t xml:space="preserve">1 = ≥1 grant in the universe is 1.</w:t>
      </w:r>
    </w:p>
    <w:p>
      <w:pPr>
        <w:numPr>
          <w:ilvl w:val="0"/>
          <w:numId w:val="1027"/>
        </w:numPr>
        <w:pStyle w:val="Compact"/>
      </w:pPr>
      <w:r>
        <w:t xml:space="preserve">0 = all grants are 0.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.</w:t>
      </w:r>
      <w:r>
        <w:t xml:space="preserve"> </w:t>
      </w:r>
      <w:r>
        <w:t xml:space="preserve">otherwise, or empty universe.</w:t>
      </w:r>
    </w:p>
    <w:p>
      <w:pPr>
        <w:numPr>
          <w:ilvl w:val="0"/>
          <w:numId w:val="1027"/>
        </w:numPr>
        <w:pStyle w:val="Compact"/>
      </w:pPr>
      <w:r>
        <w:t xml:space="preserve">Universes: ALL grants / PERF grants.</w:t>
      </w:r>
    </w:p>
    <w:p>
      <w:pPr>
        <w:pStyle w:val="FirstParagraph"/>
      </w:pPr>
      <w:r>
        <w:rPr>
          <w:bCs/>
          <w:b/>
        </w:rPr>
        <w:t xml:space="preserve">Grant share</w:t>
      </w:r>
    </w:p>
    <w:p>
      <w:pPr>
        <w:numPr>
          <w:ilvl w:val="0"/>
          <w:numId w:val="1028"/>
        </w:numPr>
        <w:pStyle w:val="Compact"/>
      </w:pPr>
      <w:r>
        <w:t xml:space="preserve">= #ESG grants / #grants in universe, published only if #unknown = 0.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_lb</w:t>
      </w:r>
      <w:r>
        <w:t xml:space="preserve"> </w:t>
      </w:r>
      <w:r>
        <w:t xml:space="preserve">= #ESG / N;</w:t>
      </w:r>
      <w:r>
        <w:t xml:space="preserve"> </w:t>
      </w:r>
      <w:r>
        <w:rPr>
          <w:rStyle w:val="VerbatimChar"/>
        </w:rPr>
        <w:t xml:space="preserve">_ub</w:t>
      </w:r>
      <w:r>
        <w:t xml:space="preserve"> </w:t>
      </w:r>
      <w:r>
        <w:t xml:space="preserve">= (#ESG + #unknown) / N; coverage = #known / N.</w:t>
      </w:r>
    </w:p>
    <w:p>
      <w:pPr>
        <w:pStyle w:val="FirstParagraph"/>
      </w:pPr>
      <w:r>
        <w:rPr>
          <w:bCs/>
          <w:b/>
        </w:rPr>
        <w:t xml:space="preserve">KPI share</w:t>
      </w:r>
    </w:p>
    <w:p>
      <w:pPr>
        <w:numPr>
          <w:ilvl w:val="0"/>
          <w:numId w:val="1029"/>
        </w:numPr>
        <w:pStyle w:val="Compact"/>
      </w:pPr>
      <w:r>
        <w:t xml:space="preserve">= #distinct ESG KPIs / #distinct KPIs, with the same exact / lb / ub rule.</w:t>
      </w:r>
    </w:p>
    <w:p>
      <w:pPr>
        <w:pStyle w:val="FirstParagraph"/>
      </w:pPr>
      <w:r>
        <w:rPr>
          <w:bCs/>
          <w:b/>
        </w:rPr>
        <w:t xml:space="preserve">E/S/G grant share</w:t>
      </w:r>
    </w:p>
    <w:p>
      <w:pPr>
        <w:numPr>
          <w:ilvl w:val="0"/>
          <w:numId w:val="1030"/>
        </w:numPr>
        <w:pStyle w:val="Compact"/>
      </w:pPr>
      <w:r>
        <w:t xml:space="preserve">= #performance grants with a confirmed E (S, G) condition / #performance grants. This is a lower bound when general ESG terms leave the pillar unresolved.</w:t>
      </w:r>
    </w:p>
    <w:p>
      <w:pPr>
        <w:pStyle w:val="FirstParagraph"/>
      </w:pPr>
      <w:r>
        <w:rPr>
          <w:bCs/>
          <w:b/>
        </w:rPr>
        <w:t xml:space="preserve">Value share</w:t>
      </w:r>
    </w:p>
    <w:p>
      <w:pPr>
        <w:numPr>
          <w:ilvl w:val="0"/>
          <w:numId w:val="1031"/>
        </w:numPr>
        <w:pStyle w:val="Compact"/>
      </w:pPr>
      <w:r>
        <w:t xml:space="preserve">= Σ grant-date fair value of grants containing ≥1 Strict ESG condition / Σ fair value of grants with reported value.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This is not value attributable to ESG.</w:t>
      </w:r>
      <w:r>
        <w:t xml:space="preserve"> </w:t>
      </w:r>
      <w:r>
        <w:t xml:space="preserve">ISS</w:t>
      </w:r>
      <w:r>
        <w:t xml:space="preserve"> </w:t>
      </w:r>
      <w:r>
        <w:rPr>
          <w:rStyle w:val="VerbatimChar"/>
        </w:rPr>
        <w:t xml:space="preserve">percentVest</w:t>
      </w:r>
      <w:r>
        <w:t xml:space="preserve"> </w:t>
      </w:r>
      <w:r>
        <w:t xml:space="preserve">is the share of the award per</w:t>
      </w:r>
      <w:r>
        <w:t xml:space="preserve"> </w:t>
      </w:r>
      <w:r>
        <w:rPr>
          <w:iCs/>
          <w:i/>
        </w:rPr>
        <w:t xml:space="preserve">measurement period</w:t>
      </w:r>
      <w:r>
        <w:t xml:space="preserve"> </w:t>
      </w:r>
      <w:r>
        <w:t xml:space="preserve">and interacts with AND/OR performance groupings and "extra" adjustments (User Guide pp. 4–6). Reliable KPI weights are therefore not observable and none are fabricated.</w:t>
      </w:r>
    </w:p>
    <w:bookmarkEnd w:id="35"/>
    <w:bookmarkStart w:id="36" w:name="X7efdfd9f10c18187e3f01d98053b9db32d0c3de"/>
    <w:p>
      <w:pPr>
        <w:pStyle w:val="Heading2"/>
      </w:pPr>
      <w:r>
        <w:t xml:space="preserve">15. Dataset observation counts and 16. Primary keys</w:t>
      </w:r>
    </w:p>
    <w:p>
      <w:pPr>
        <w:pStyle w:val="FirstParagraph"/>
      </w:pPr>
      <w:r>
        <w:t xml:space="preserve">Also in</w:t>
      </w:r>
      <w:r>
        <w:t xml:space="preserve"> </w:t>
      </w:r>
      <w:r>
        <w:rPr>
          <w:rStyle w:val="VerbatimChar"/>
        </w:rPr>
        <w:t xml:space="preserve">Documentation/dataset_summary.csv</w:t>
      </w:r>
      <w:r>
        <w:t xml:space="preserve">; every key was verified unique and non-missing on re-read.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ESG_Text_Dictionary.dta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ESG_KPI_Master.dta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654,123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kpi_id (= grantid + goal_source + text_id)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(B-alt)</w:t>
            </w:r>
            <w:r>
              <w:t xml:space="preserve"> </w:t>
            </w:r>
            <w:r>
              <w:rPr>
                <w:rStyle w:val="VerbatimChar"/>
              </w:rPr>
              <w:t xml:space="preserve">ESG_Goal_Record_Classification.dta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814,091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goal_record_id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ESG_Grant_Master.dta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469,429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  <w:r>
              <w:t xml:space="preserve"> </w:t>
            </w:r>
            <w:r>
              <w:rPr>
                <w:rStyle w:val="VerbatimChar"/>
              </w:rPr>
              <w:t xml:space="preserve">ESG_Executive_Firm_Year.dta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164,832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cik + fiscalyear + participantid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ESG_CEO_Firm_Year.dta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33,278 (strict sample 32,231)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cik + fiscalyear + participantid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  <w:r>
              <w:t xml:space="preserve"> </w:t>
            </w:r>
            <w:r>
              <w:rPr>
                <w:rStyle w:val="VerbatimChar"/>
              </w:rPr>
              <w:t xml:space="preserve">ESG_Firm_Year_Master.dta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cik + fiscalyear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  <w:r>
              <w:t xml:space="preserve"> </w:t>
            </w:r>
            <w:r>
              <w:rPr>
                <w:rStyle w:val="VerbatimChar"/>
              </w:rPr>
              <w:t xml:space="preserve">ESG_NonCEO_Firm_Year.dta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cik + fiscalyear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1998–2021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Stata names.</w:t>
      </w:r>
      <w:r>
        <w:t xml:space="preserve"> </w:t>
      </w:r>
      <w:r>
        <w:t xml:space="preserve">Names are ≤ 32 characters. Overlong preferred names are shortened by a fixed rule (</w:t>
      </w:r>
      <w:r>
        <w:rPr>
          <w:rStyle w:val="VerbatimChar"/>
        </w:rPr>
        <w:t xml:space="preserve">_extended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compensation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_strict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_str</w:t>
      </w:r>
      <w:r>
        <w:t xml:space="preserve">); the mapping is in the variable dictionary (</w:t>
      </w:r>
      <w:r>
        <w:rPr>
          <w:rStyle w:val="VerbatimChar"/>
        </w:rPr>
        <w:t xml:space="preserve">preferred_name</w:t>
      </w:r>
      <w:r>
        <w:t xml:space="preserve">).</w:t>
      </w:r>
    </w:p>
    <w:bookmarkEnd w:id="36"/>
    <w:bookmarkStart w:id="37" w:name="X1d5a4436dd313864f5d4f1aa27799ada990b6c8"/>
    <w:p>
      <w:pPr>
        <w:pStyle w:val="Heading2"/>
      </w:pPr>
      <w:r>
        <w:t xml:space="preserve">17. Matching and reconciliation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Goal records →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99.9988% matched (10 records, 3 grants unmatched)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Grants → ParticipantFY (exact 4 keys)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99.975% matched (117 unmatched)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Grants → CompanyFY firm-year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KPI source rows = goal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814,091 = 814,091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grant KPIs = KPI master (matched grants)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esg + non-esg + unknown KPIs = n_kpis (each grant)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exec grants = Σ firm grants = grant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469,429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ESG / perf / all grant counts = Σ over executive-years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for every firm-year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shares and coverages in [0, 1]; lb ≤ ub; adoption consistent with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= 1 ⇒ Extended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</w:t>
            </w:r>
          </w:p>
        </w:tc>
      </w:tr>
    </w:tbl>
    <w:p>
      <w:pPr>
        <w:pStyle w:val="BodyText"/>
      </w:pPr>
      <w:r>
        <w:t xml:space="preserve">All of these are asserted in code; any failure stops the pipeline.</w:t>
      </w:r>
    </w:p>
    <w:bookmarkEnd w:id="37"/>
    <w:bookmarkStart w:id="38" w:name="X1a6fe1dc1a37842ae70a2a0271fc50945c947ec"/>
    <w:p>
      <w:pPr>
        <w:pStyle w:val="Heading2"/>
      </w:pPr>
      <w:r>
        <w:t xml:space="preserve">18. Annual ESG trends</w:t>
      </w:r>
    </w:p>
    <w:p>
      <w:pPr>
        <w:pStyle w:val="FirstParagraph"/>
      </w:pPr>
      <w:r>
        <w:t xml:space="preserve">Full tables:</w:t>
      </w:r>
      <w:r>
        <w:t xml:space="preserve"> </w:t>
      </w:r>
      <w:r>
        <w:rPr>
          <w:rStyle w:val="VerbatimChar"/>
        </w:rPr>
        <w:t xml:space="preserve">Annual_Analysis/annual_firm_year.csv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annual_executive_year.csv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annual_ceo_year_strict_sample.csv</w:t>
      </w:r>
      <w:r>
        <w:t xml:space="preserve">.</w:t>
      </w:r>
    </w:p>
    <w:p>
      <w:pPr>
        <w:pStyle w:val="BodyText"/>
      </w:pPr>
      <w:r>
        <w:t xml:space="preserve">Firm-years with performance grants, Strict ESG adoption: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perf-grant share 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perf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 ESG (diag)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30.1%</w:t>
            </w:r>
          </w:p>
        </w:tc>
      </w:tr>
    </w:tbl>
    <w:p>
      <w:pPr>
        <w:pStyle w:val="BodyText"/>
      </w:pPr>
      <w:r>
        <w:t xml:space="preserve">Firm-level pillar adoption (lb), 2017 → 2018 → 2021: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1.4%</w:t>
            </w:r>
          </w:p>
        </w:tc>
      </w:tr>
    </w:tbl>
    <w:p>
      <w:pPr>
        <w:pStyle w:val="BodyText"/>
      </w:pPr>
      <w:r>
        <w:t xml:space="preserve">Executive level, Strict adoption lb (CEO strict sample in parentheses):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Executives (CEO)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13.6% (13.3%)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 (14.7%)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29.4% (29.7%)</w:t>
            </w:r>
          </w:p>
        </w:tc>
      </w:tr>
    </w:tbl>
    <w:bookmarkEnd w:id="38"/>
    <w:bookmarkStart w:id="39" w:name="Xbecd61d34027c991bb1773b773725371ebf4963"/>
    <w:p>
      <w:pPr>
        <w:pStyle w:val="Heading2"/>
      </w:pPr>
      <w:r>
        <w:t xml:space="preserve">19. Interpretation of the 2018 classification change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rise survives uniform text classification, but the 2018 jump does not.</w:t>
      </w:r>
    </w:p>
    <w:p>
      <w:pPr>
        <w:numPr>
          <w:ilvl w:val="1"/>
          <w:numId w:val="1033"/>
        </w:numPr>
        <w:pStyle w:val="Compact"/>
      </w:pPr>
      <w:r>
        <w:t xml:space="preserve">ISS's own ESG categories move from 0.3% (2017) to 13.7% (2018) of firm-years.</w:t>
      </w:r>
    </w:p>
    <w:p>
      <w:pPr>
        <w:numPr>
          <w:ilvl w:val="1"/>
          <w:numId w:val="1033"/>
        </w:numPr>
        <w:pStyle w:val="Compact"/>
      </w:pPr>
      <w:r>
        <w:t xml:space="preserve">Uniform text classification moves only from 14.6% to 15.5%.</w:t>
      </w:r>
    </w:p>
    <w:p>
      <w:pPr>
        <w:numPr>
          <w:ilvl w:val="1"/>
          <w:numId w:val="1033"/>
        </w:numPr>
        <w:pStyle w:val="Compact"/>
      </w:pPr>
      <w:r>
        <w:t xml:space="preserve">At KPI level, text-Strict ESG KPIs number 1,618 in 2017 and 1,641 in 2018 (</w:t>
      </w:r>
      <w:r>
        <w:rPr>
          <w:rStyle w:val="VerbatimChar"/>
        </w:rPr>
        <w:t xml:space="preserve">break_iss_vs_text_kpi_2014_2021.csv</w:t>
      </w:r>
      <w:r>
        <w:t xml:space="preserve">).</w:t>
      </w:r>
    </w:p>
    <w:p>
      <w:pPr>
        <w:numPr>
          <w:ilvl w:val="1"/>
          <w:numId w:val="1033"/>
        </w:numPr>
        <w:pStyle w:val="Compact"/>
      </w:pPr>
      <w:r>
        <w:t xml:space="preserve">The real increase is concentrated in 2020–2021: 19.6% → 30.4%.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ISS re-classification created an artificial break.</w:t>
      </w:r>
    </w:p>
    <w:p>
      <w:pPr>
        <w:numPr>
          <w:ilvl w:val="1"/>
          <w:numId w:val="1034"/>
        </w:numPr>
        <w:pStyle w:val="Compact"/>
      </w:pPr>
      <w:r>
        <w:t xml:space="preserve">Before 2018, about 1,500–1,700 text-ESG KPIs a year are labelled non-ESG by ISS.</w:t>
      </w:r>
    </w:p>
    <w:p>
      <w:pPr>
        <w:numPr>
          <w:ilvl w:val="1"/>
          <w:numId w:val="1034"/>
        </w:numPr>
        <w:pStyle w:val="Compact"/>
      </w:pPr>
      <w:r>
        <w:t xml:space="preserve">From 2018, 80% of ISS-ESG KPIs are text-Strict. The rest are mostly Extended-only (customer and product responsibility, "staff relations" generic workforce) or Unknown.</w:t>
      </w:r>
    </w:p>
    <w:p>
      <w:pPr>
        <w:numPr>
          <w:ilvl w:val="1"/>
          <w:numId w:val="1034"/>
        </w:numPr>
        <w:pStyle w:val="Compact"/>
      </w:pPr>
      <w:r>
        <w:t xml:space="preserve">Conversely, 237–426 text-Strict KPIs a year remain ISS non-ESG after 2018, e.g. "Environmental and Safety".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Sample composition is not the explanation.</w:t>
      </w:r>
    </w:p>
    <w:p>
      <w:pPr>
        <w:numPr>
          <w:ilvl w:val="1"/>
          <w:numId w:val="1035"/>
        </w:numPr>
        <w:pStyle w:val="Compact"/>
      </w:pPr>
      <w:r>
        <w:t xml:space="preserve">1,134 firms are continuing from 2017 to 2018; their adoption goes from 14.0% to 15.3%.</w:t>
      </w:r>
    </w:p>
    <w:p>
      <w:pPr>
        <w:numPr>
          <w:ilvl w:val="1"/>
          <w:numId w:val="1035"/>
        </w:numPr>
        <w:pStyle w:val="Compact"/>
      </w:pPr>
      <w:r>
        <w:t xml:space="preserve">54 firms exit and 26 enter, and both groups have higher adoption (26% / 23%), so composition does not explain a jump.</w:t>
      </w:r>
    </w:p>
    <w:p>
      <w:pPr>
        <w:numPr>
          <w:ilvl w:val="1"/>
          <w:numId w:val="1035"/>
        </w:numPr>
        <w:pStyle w:val="Compact"/>
      </w:pPr>
      <w:r>
        <w:t xml:space="preserve">A 2015–2021 balanced panel of firms with known adoption every year (205 firms; positively selected, adoption about 40%) is flat through 2020 and rises in 2021.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Extensive vs intensive margin</w:t>
      </w:r>
      <w:r>
        <w:t xml:space="preserve"> </w:t>
      </w:r>
      <w:r>
        <w:t xml:space="preserve">(mean firm perf-grant ESG share, lb; Shapley-type split):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mean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+0.79 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+6.71 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−0.39</w:t>
            </w:r>
          </w:p>
        </w:tc>
      </w:tr>
    </w:tbl>
    <w:p>
      <w:pPr>
        <w:pStyle w:val="BodyText"/>
      </w:pPr>
      <w:r>
        <w:t xml:space="preserve">The increase is driven by</w:t>
      </w:r>
      <w:r>
        <w:t xml:space="preserve"> </w:t>
      </w:r>
      <w:r>
        <w:rPr>
          <w:bCs/>
          <w:b/>
        </w:rPr>
        <w:t xml:space="preserve">adoption (extensive margin)</w:t>
      </w:r>
      <w:r>
        <w:t xml:space="preserve">, not by higher intensity among adopters.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Pillars.</w:t>
      </w:r>
      <w:r>
        <w:t xml:space="preserve"> </w:t>
      </w:r>
      <w:r>
        <w:t xml:space="preserve">Social conditions, mainly safety and DEI, drive the level and the 2020–21 increase. Environmental conditions double from 2018 to 2021. Governance conditions remain rare (about 1%).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Coverage.</w:t>
      </w:r>
      <w:r>
        <w:t xml:space="preserve"> </w:t>
      </w:r>
      <w:r>
        <w:t xml:space="preserve">Classification coverage of performance grants rises gently from about 0.6 (1998) to 0.77 (2021); there is no discontinuity at 2018.</w:t>
      </w:r>
    </w:p>
    <w:p>
      <w:pPr>
        <w:numPr>
          <w:ilvl w:val="0"/>
          <w:numId w:val="1036"/>
        </w:numPr>
        <w:pStyle w:val="Compact"/>
      </w:pPr>
      <w:r>
        <w:t xml:space="preserve">The pre-2018 text-availability problem (blank</w:t>
      </w:r>
      <w:r>
        <w:t xml:space="preserve"> </w:t>
      </w:r>
      <w:r>
        <w:rPr>
          <w:rStyle w:val="VerbatimChar"/>
        </w:rPr>
        <w:t xml:space="preserve">metricOther</w:t>
      </w:r>
      <w:r>
        <w:t xml:space="preserve">) mainly affects financial-label rows, which remain classifiable from the time-consistent</w:t>
      </w:r>
      <w:r>
        <w:t xml:space="preserve"> 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label.</w:t>
      </w:r>
    </w:p>
    <w:p>
      <w:pPr>
        <w:numPr>
          <w:ilvl w:val="0"/>
          <w:numId w:val="1036"/>
        </w:numPr>
        <w:pStyle w:val="Compact"/>
      </w:pPr>
      <w:r>
        <w:t xml:space="preserve">Bounds therefore remain wide in all years: the gap between lb and ub is about 45–55 pp.</w:t>
      </w:r>
    </w:p>
    <w:p>
      <w:pPr>
        <w:pStyle w:val="FirstParagraph"/>
      </w:pPr>
      <w:r>
        <w:t xml:space="preserve">These are descriptive measurement results, not causal effects.</w:t>
      </w:r>
    </w:p>
    <w:bookmarkEnd w:id="39"/>
    <w:bookmarkStart w:id="40" w:name="X14da1591e9cf8b3b4fbe2854bd2b2825da5a700"/>
    <w:p>
      <w:pPr>
        <w:pStyle w:val="Heading2"/>
      </w:pPr>
      <w:r>
        <w:t xml:space="preserve">20. Limitations and recommended research uses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Provisional labels.</w:t>
      </w:r>
      <w:r>
        <w:t xml:space="preserve"> </w:t>
      </w:r>
      <w:r>
        <w:t xml:space="preserve">No human-validated accuracy exists yet; use the validation package (§12). The human review queue (1,039 flagged frequent units) can resolve many Unknowns in v1.1. Re-running Step 06 onward then propagates confirmed labels and records</w:t>
      </w:r>
      <w:r>
        <w:t xml:space="preserve"> </w:t>
      </w:r>
      <w:r>
        <w:rPr>
          <w:rStyle w:val="VerbatimChar"/>
        </w:rPr>
        <w:t xml:space="preserve">human_reviewed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Wide Unknown band.</w:t>
      </w:r>
      <w:r>
        <w:t xml:space="preserve"> </w:t>
      </w:r>
      <w:r>
        <w:t xml:space="preserve">It comes from non-specific annual-bonus metrics. Use</w:t>
      </w:r>
      <w:r>
        <w:t xml:space="preserve"> </w:t>
      </w:r>
      <w:r>
        <w:rPr>
          <w:rStyle w:val="VerbatimChar"/>
        </w:rPr>
        <w:t xml:space="preserve">_lb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_ub</w:t>
      </w:r>
      <w:r>
        <w:t xml:space="preserve"> </w:t>
      </w:r>
      <w:r>
        <w:t xml:space="preserve">and coverage, report complete-case estimates as a robustness check, or condition on</w:t>
      </w:r>
      <w:r>
        <w:t xml:space="preserve"> </w:t>
      </w:r>
      <w:r>
        <w:rPr>
          <w:rStyle w:val="VerbatimChar"/>
        </w:rPr>
        <w:t xml:space="preserve">*_esg_measurement_complete = 1</w:t>
      </w:r>
      <w:r>
        <w:t xml:space="preserve">. Never treat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0.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Definitional choices</w:t>
      </w:r>
      <w:r>
        <w:t xml:space="preserve"> </w:t>
      </w:r>
      <w:r>
        <w:t xml:space="preserve">(documented, and switchable via flags):</w:t>
      </w:r>
    </w:p>
    <w:p>
      <w:pPr>
        <w:numPr>
          <w:ilvl w:val="1"/>
          <w:numId w:val="1038"/>
        </w:numPr>
        <w:pStyle w:val="Compact"/>
      </w:pPr>
      <w:r>
        <w:t xml:space="preserve">Generic compliance/risk/cyber and generic talent/succession are excluded (</w:t>
      </w:r>
      <w:r>
        <w:rPr>
          <w:rStyle w:val="VerbatimChar"/>
        </w:rPr>
        <w:t xml:space="preserve">adjacent_flags</w:t>
      </w:r>
      <w:r>
        <w:t xml:space="preserve">).</w:t>
      </w:r>
    </w:p>
    <w:p>
      <w:pPr>
        <w:numPr>
          <w:ilvl w:val="1"/>
          <w:numId w:val="1038"/>
        </w:numPr>
        <w:pStyle w:val="Compact"/>
      </w:pPr>
      <w:r>
        <w:t xml:space="preserve">Customer service reliability is Extended-only.</w:t>
      </w:r>
    </w:p>
    <w:p>
      <w:pPr>
        <w:numPr>
          <w:ilvl w:val="1"/>
          <w:numId w:val="1038"/>
        </w:numPr>
        <w:pStyle w:val="Compact"/>
      </w:pPr>
      <w:r>
        <w:t xml:space="preserve">Renewable business-line execution is excluded.</w:t>
      </w:r>
    </w:p>
    <w:p>
      <w:pPr>
        <w:numPr>
          <w:ilvl w:val="1"/>
          <w:numId w:val="1038"/>
        </w:numPr>
        <w:pStyle w:val="Compact"/>
      </w:pPr>
      <w:r>
        <w:t xml:space="preserve">Researchers preferring other boundaries can re-define using</w:t>
      </w:r>
      <w:r>
        <w:t xml:space="preserve"> </w:t>
      </w:r>
      <w:r>
        <w:rPr>
          <w:rStyle w:val="VerbatimChar"/>
        </w:rPr>
        <w:t xml:space="preserve">esg_topics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adjacent_flags</w:t>
      </w:r>
      <w:r>
        <w:t xml:space="preserve"> </w:t>
      </w:r>
      <w:r>
        <w:t xml:space="preserve">in Dataset A.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 ESG-attributable value.</w:t>
      </w:r>
      <w:r>
        <w:t xml:space="preserve"> </w:t>
      </w:r>
      <w:r>
        <w:t xml:space="preserve">The value-share measures are exposure measures, i.e. the value of grants</w:t>
      </w:r>
      <w:r>
        <w:t xml:space="preserve"> </w:t>
      </w:r>
      <w:r>
        <w:rPr>
          <w:iCs/>
          <w:i/>
        </w:rPr>
        <w:t xml:space="preserve">containing</w:t>
      </w:r>
      <w:r>
        <w:t xml:space="preserve"> </w:t>
      </w:r>
      <w:r>
        <w:t xml:space="preserve">ESG conditions.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CEO identification.</w:t>
      </w:r>
      <w:r>
        <w:t xml:space="preserve"> </w:t>
      </w:r>
      <w:r>
        <w:t xml:space="preserve">Relies on ISS</w:t>
      </w:r>
      <w:r>
        <w:t xml:space="preserve"> </w:t>
      </w:r>
      <w:r>
        <w:rPr>
          <w:rStyle w:val="VerbatimChar"/>
        </w:rPr>
        <w:t xml:space="preserve">currentCEO</w:t>
      </w:r>
      <w:r>
        <w:t xml:space="preserve">. Co-CEO and succession years are kept in the exception table, not resolved.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Software.</w:t>
      </w:r>
      <w:r>
        <w:t xml:space="preserve"> </w:t>
      </w:r>
      <w:r>
        <w:t xml:space="preserve">Datasets are built in Python (pandas) and written as labelled Stata 118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files (accepted by the user). Stata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versions were not produced because Stata is not available in the build environment.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Licensing.</w:t>
      </w:r>
      <w:r>
        <w:t xml:space="preserve"> </w:t>
      </w:r>
      <w:r>
        <w:t xml:space="preserve">ISS data and any file containing ISS text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*_local.csv</w:t>
      </w:r>
      <w:r>
        <w:t xml:space="preserve">) are git-ignored and must not be redistributed.</w:t>
      </w:r>
    </w:p>
    <w:p>
      <w:pPr>
        <w:pStyle w:val="FirstParagraph"/>
      </w:pPr>
      <w:r>
        <w:rPr>
          <w:bCs/>
          <w:b/>
        </w:rPr>
        <w:t xml:space="preserve">Recommended primary variables (firm-year):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firm_perf_esg_adopt_strict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firm_esg_perf_share_lb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_ub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firm_perf_class_coverage</w:t>
      </w:r>
      <w:r>
        <w:t xml:space="preserve">)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firm_esg_kpi_share_lb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_ub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firm_esg_[e|s|g]_adopt</w:t>
      </w:r>
    </w:p>
    <w:p>
      <w:pPr>
        <w:numPr>
          <w:ilvl w:val="0"/>
          <w:numId w:val="1039"/>
        </w:numPr>
        <w:pStyle w:val="Compact"/>
      </w:pPr>
      <w:r>
        <w:t xml:space="preserve">the Extended counterparts as a robustness check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2026-10-31T14:49:08Z</dcterms:created>
  <dcterms:modified xsi:type="dcterms:W3CDTF">2026-10-31T14:49:08Z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