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178d8e13990b67d0bb86d0b5d533adbd19096ed"/>
    <w:p>
      <w:pPr>
        <w:pStyle w:val="Heading1"/>
      </w:pPr>
      <w:r>
        <w:t xml:space="preserve">Human coding guidelines — ESG performance-metric validation (classifier v1.0)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Produce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reference labels for 601 randomly sampled classification units, so that the frozen</w:t>
      </w:r>
      <w:r>
        <w:t xml:space="preserve"> </w:t>
      </w:r>
      <w:r>
        <w:t xml:space="preserve">rule-based classifier (v1.0) can be validated. Coders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look at the model labels, the rule files or the</w:t>
      </w:r>
      <w:r>
        <w:t xml:space="preserve"> </w:t>
      </w:r>
      <w:r>
        <w:t xml:space="preserve">answer key (</w:t>
      </w:r>
      <w:r>
        <w:rPr>
          <w:rStyle w:val="VerbatimChar"/>
        </w:rPr>
        <w:t xml:space="preserve">validation_sample_v1.0_KEY_local.csv</w:t>
      </w:r>
      <w:r>
        <w:t xml:space="preserve">) before submitting their labels.</w:t>
      </w:r>
    </w:p>
    <w:bookmarkStart w:id="20" w:name="files"/>
    <w:p>
      <w:pPr>
        <w:pStyle w:val="Heading2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validation_coding_sheet_v1.0_coder1_local.csv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..._coder2_local.csv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sheets: one row per unit (metric label + representative</w:t>
            </w:r>
            <w:r>
              <w:t xml:space="preserve"> </w:t>
            </w:r>
            <w:r>
              <w:rPr>
                <w:rStyle w:val="VerbatimChar"/>
              </w:rPr>
              <w:t xml:space="preserve">metricOther</w:t>
            </w:r>
            <w:r>
              <w:t xml:space="preserve"> </w:t>
            </w:r>
            <w:r>
              <w:t xml:space="preserve">text, years and number of firms)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human_labels/coder1_labels.csv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human_labels/coder2_labels.csv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each completed sheet here (keep</w:t>
            </w:r>
            <w:r>
              <w:t xml:space="preserve"> </w:t>
            </w:r>
            <w:r>
              <w:rPr>
                <w:rStyle w:val="VerbatimChar"/>
              </w:rPr>
              <w:t xml:space="preserve">text_id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human_labels/adjudicated_labels.csv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labels after a third person resolves coder disagreements. Columns:</w:t>
            </w:r>
            <w:r>
              <w:t xml:space="preserve"> </w:t>
            </w:r>
            <w:r>
              <w:rPr>
                <w:rStyle w:val="VerbatimChar"/>
              </w:rPr>
              <w:t xml:space="preserve">text_id, human_esg_strict, human_esg_extended, human_esg_e, human_esg_s, human_esg_g, reviewer, review_date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human_review_queue_v1.0_local.csv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part of validation.</w:t>
            </w:r>
            <w:r>
              <w:t xml:space="preserve"> </w:t>
            </w:r>
            <w:r>
              <w:t xml:space="preserve">These are frequent unresolved or flagged texts, to be reviewed when building v1.1</w:t>
            </w:r>
          </w:p>
        </w:tc>
      </w:tr>
    </w:tbl>
    <w:p>
      <w:pPr>
        <w:pStyle w:val="BodyText"/>
      </w:pPr>
      <w:r>
        <w:t xml:space="preserve">After the labels are in place, re-run</w:t>
      </w:r>
      <w:r>
        <w:t xml:space="preserve"> </w:t>
      </w:r>
      <w:r>
        <w:rPr>
          <w:rStyle w:val="VerbatimChar"/>
        </w:rPr>
        <w:t xml:space="preserve">python Code/master_run.py 06</w:t>
      </w:r>
      <w:r>
        <w:t xml:space="preserve">. Step 06 applies the adjudicated labels (</w:t>
      </w:r>
      <w:r>
        <w:rPr>
          <w:rStyle w:val="VerbatimChar"/>
        </w:rPr>
        <w:t xml:space="preserve">human_reviewed = 1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). Step 13 then computes the validation statistics, comparing the</w:t>
      </w:r>
      <w:r>
        <w:t xml:space="preserve"> </w:t>
      </w:r>
      <w:r>
        <w:rPr>
          <w:iCs/>
          <w:i/>
        </w:rPr>
        <w:t xml:space="preserve">v1.0 model labels</w:t>
      </w:r>
      <w:r>
        <w:t xml:space="preserve"> </w:t>
      </w:r>
      <w:r>
        <w:t xml:space="preserve">with the human reference.</w:t>
      </w:r>
    </w:p>
    <w:bookmarkEnd w:id="20"/>
    <w:bookmarkStart w:id="21" w:name="coding-values"/>
    <w:p>
      <w:pPr>
        <w:pStyle w:val="Heading2"/>
      </w:pPr>
      <w:r>
        <w:t xml:space="preserve">Coding values</w:t>
      </w:r>
    </w:p>
    <w:p>
      <w:pPr>
        <w:pStyle w:val="FirstParagraph"/>
      </w:pPr>
      <w:r>
        <w:t xml:space="preserve">For each label, enter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: the text gives enough evidence that this is the case.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</w:t>
      </w:r>
      <w:r>
        <w:t xml:space="preserve">: the text gives enough evidence that it is not.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</w:t>
      </w:r>
      <w:r>
        <w:t xml:space="preserve">: the text is insufficient to decide.</w:t>
      </w:r>
    </w:p>
    <w:p>
      <w:pPr>
        <w:pStyle w:val="FirstParagraph"/>
      </w:pPr>
      <w:r>
        <w:rPr>
          <w:rStyle w:val="VerbatimChar"/>
        </w:rPr>
        <w:t xml:space="preserve">h_confidence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low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h_notes</w:t>
      </w:r>
      <w:r>
        <w:t xml:space="preserve"> </w:t>
      </w:r>
      <w:r>
        <w:t xml:space="preserve">for the reason in any non-obvious case.</w:t>
      </w:r>
    </w:p>
    <w:p>
      <w:pPr>
        <w:pStyle w:val="BodyText"/>
      </w:pPr>
      <w:r>
        <w:t xml:space="preserve">Code</w:t>
      </w:r>
      <w:r>
        <w:t xml:space="preserve"> </w:t>
      </w:r>
      <w:r>
        <w:rPr>
          <w:bCs/>
          <w:b/>
        </w:rPr>
        <w:t xml:space="preserve">the performance condition described by the text</w:t>
      </w:r>
      <w:r>
        <w:t xml:space="preserve">. Do not code the company, its industry, or what you believe the firm intended.</w:t>
      </w:r>
    </w:p>
    <w:bookmarkEnd w:id="21"/>
    <w:bookmarkStart w:id="22" w:name="Xa43c4f9ab79709523540e74c6426b6c0f1bf350"/>
    <w:p>
      <w:pPr>
        <w:pStyle w:val="Heading2"/>
      </w:pPr>
      <w:r>
        <w:t xml:space="preserve">Definitions (identical to the classifier's construct)</w:t>
      </w:r>
    </w:p>
    <w:p>
      <w:pPr>
        <w:pStyle w:val="FirstParagraph"/>
      </w:pPr>
      <w:r>
        <w:rPr>
          <w:bCs/>
          <w:b/>
        </w:rPr>
        <w:t xml:space="preserve">Strict ESG = 1</w:t>
      </w:r>
      <w:r>
        <w:t xml:space="preserve"> </w:t>
      </w:r>
      <w:r>
        <w:t xml:space="preserve">if the metric is an explicitly environmental, social or governance performance condition.</w:t>
      </w:r>
    </w:p>
    <w:p>
      <w:pPr>
        <w:pStyle w:val="BodyText"/>
      </w:pPr>
      <w:r>
        <w:rPr>
          <w:bCs/>
          <w:b/>
        </w:rPr>
        <w:t xml:space="preserve">Environmental (E):</w:t>
      </w:r>
    </w:p>
    <w:p>
      <w:pPr>
        <w:numPr>
          <w:ilvl w:val="0"/>
          <w:numId w:val="1002"/>
        </w:numPr>
        <w:pStyle w:val="Compact"/>
      </w:pPr>
      <w:r>
        <w:t xml:space="preserve">GHG / carbon / methane emissions and intensity</w:t>
      </w:r>
    </w:p>
    <w:p>
      <w:pPr>
        <w:numPr>
          <w:ilvl w:val="0"/>
          <w:numId w:val="1002"/>
        </w:numPr>
        <w:pStyle w:val="Compact"/>
      </w:pPr>
      <w:r>
        <w:t xml:space="preserve">Climate targets or policies</w:t>
      </w:r>
    </w:p>
    <w:p>
      <w:pPr>
        <w:numPr>
          <w:ilvl w:val="0"/>
          <w:numId w:val="1002"/>
        </w:numPr>
        <w:pStyle w:val="Compact"/>
      </w:pPr>
      <w:r>
        <w:t xml:space="preserve">Air pollutants, spills and releases</w:t>
      </w:r>
    </w:p>
    <w:p>
      <w:pPr>
        <w:numPr>
          <w:ilvl w:val="0"/>
          <w:numId w:val="1002"/>
        </w:numPr>
        <w:pStyle w:val="Compact"/>
      </w:pPr>
      <w:r>
        <w:t xml:space="preserve">Environmental compliance, incidents or violations</w:t>
      </w:r>
    </w:p>
    <w:p>
      <w:pPr>
        <w:numPr>
          <w:ilvl w:val="0"/>
          <w:numId w:val="1002"/>
        </w:numPr>
        <w:pStyle w:val="Compact"/>
      </w:pPr>
      <w:r>
        <w:t xml:space="preserve">Waste, recycling, plastics</w:t>
      </w:r>
    </w:p>
    <w:p>
      <w:pPr>
        <w:numPr>
          <w:ilvl w:val="0"/>
          <w:numId w:val="1002"/>
        </w:numPr>
        <w:pStyle w:val="Compact"/>
      </w:pPr>
      <w:r>
        <w:t xml:space="preserve">Water use and water quality</w:t>
      </w:r>
    </w:p>
    <w:p>
      <w:pPr>
        <w:numPr>
          <w:ilvl w:val="0"/>
          <w:numId w:val="1002"/>
        </w:numPr>
        <w:pStyle w:val="Compact"/>
      </w:pPr>
      <w:r>
        <w:t xml:space="preserve">Biodiversity, land reclamation</w:t>
      </w:r>
    </w:p>
    <w:p>
      <w:pPr>
        <w:numPr>
          <w:ilvl w:val="0"/>
          <w:numId w:val="1002"/>
        </w:numPr>
        <w:pStyle w:val="Compact"/>
      </w:pPr>
      <w:r>
        <w:t xml:space="preserve">Renewable or low-carbon energy</w:t>
      </w:r>
      <w:r>
        <w:t xml:space="preserve"> </w:t>
      </w:r>
      <w:r>
        <w:rPr>
          <w:iCs/>
          <w:i/>
        </w:rPr>
        <w:t xml:space="preserve">adoption</w:t>
      </w:r>
    </w:p>
    <w:p>
      <w:pPr>
        <w:numPr>
          <w:ilvl w:val="0"/>
          <w:numId w:val="1002"/>
        </w:numPr>
        <w:pStyle w:val="Compact"/>
      </w:pPr>
      <w:r>
        <w:t xml:space="preserve">Energy-use reduction, but only when the text gives an environmental rationale</w:t>
      </w:r>
    </w:p>
    <w:p>
      <w:pPr>
        <w:pStyle w:val="FirstParagraph"/>
      </w:pPr>
      <w:r>
        <w:rPr>
          <w:bCs/>
          <w:b/>
        </w:rPr>
        <w:t xml:space="preserve">Social (S):</w:t>
      </w:r>
    </w:p>
    <w:p>
      <w:pPr>
        <w:numPr>
          <w:ilvl w:val="0"/>
          <w:numId w:val="1003"/>
        </w:numPr>
        <w:pStyle w:val="Compact"/>
      </w:pPr>
      <w:r>
        <w:t xml:space="preserve">Occupational, process and public safety: TRIR, DART, lost time, fatalities, vehicle accidents, near misses, HSE / EHS</w:t>
      </w:r>
    </w:p>
    <w:p>
      <w:pPr>
        <w:numPr>
          <w:ilvl w:val="0"/>
          <w:numId w:val="1003"/>
        </w:numPr>
        <w:pStyle w:val="Compact"/>
      </w:pPr>
      <w:r>
        <w:t xml:space="preserve">Diversity, equity and inclusion, including supplier diversity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Specific</w:t>
      </w:r>
      <w:r>
        <w:t xml:space="preserve"> </w:t>
      </w:r>
      <w:r>
        <w:t xml:space="preserve">employee engagement, satisfaction, retention, turnover, training/development, wellbeing</w:t>
      </w:r>
    </w:p>
    <w:p>
      <w:pPr>
        <w:numPr>
          <w:ilvl w:val="0"/>
          <w:numId w:val="1003"/>
        </w:numPr>
        <w:pStyle w:val="Compact"/>
      </w:pPr>
      <w:r>
        <w:t xml:space="preserve">Human rights and labour standards</w:t>
      </w:r>
    </w:p>
    <w:p>
      <w:pPr>
        <w:numPr>
          <w:ilvl w:val="0"/>
          <w:numId w:val="1003"/>
        </w:numPr>
        <w:pStyle w:val="Compact"/>
      </w:pPr>
      <w:r>
        <w:t xml:space="preserve">Community investment, volunteering, philanthropy</w:t>
      </w:r>
    </w:p>
    <w:p>
      <w:pPr>
        <w:numPr>
          <w:ilvl w:val="0"/>
          <w:numId w:val="1003"/>
        </w:numPr>
        <w:pStyle w:val="Compact"/>
      </w:pPr>
      <w:r>
        <w:t xml:space="preserve">Clearly defined social-access mission goals (e.g. affordable-housing goals)</w:t>
      </w:r>
    </w:p>
    <w:p>
      <w:pPr>
        <w:pStyle w:val="FirstParagraph"/>
      </w:pPr>
      <w:r>
        <w:rPr>
          <w:bCs/>
          <w:b/>
        </w:rPr>
        <w:t xml:space="preserve">Governance (G):</w:t>
      </w:r>
    </w:p>
    <w:p>
      <w:pPr>
        <w:numPr>
          <w:ilvl w:val="0"/>
          <w:numId w:val="1004"/>
        </w:numPr>
        <w:pStyle w:val="Compact"/>
      </w:pPr>
      <w:r>
        <w:t xml:space="preserve">Business ethics, code of conduct, anti-corruption / bribery, whistle-blowing</w:t>
      </w:r>
    </w:p>
    <w:p>
      <w:pPr>
        <w:numPr>
          <w:ilvl w:val="0"/>
          <w:numId w:val="1004"/>
        </w:numPr>
        <w:pStyle w:val="Compact"/>
      </w:pPr>
      <w:r>
        <w:t xml:space="preserve">Corporate governance</w:t>
      </w:r>
    </w:p>
    <w:p>
      <w:pPr>
        <w:numPr>
          <w:ilvl w:val="0"/>
          <w:numId w:val="1004"/>
        </w:numPr>
        <w:pStyle w:val="Compact"/>
      </w:pPr>
      <w:r>
        <w:t xml:space="preserve">Board composition, diversity and evaluation</w:t>
      </w:r>
    </w:p>
    <w:p>
      <w:pPr>
        <w:pStyle w:val="FirstParagraph"/>
      </w:pPr>
      <w:r>
        <w:rPr>
          <w:bCs/>
          <w:b/>
        </w:rPr>
        <w:t xml:space="preserve">General ESG:</w:t>
      </w:r>
      <w:r>
        <w:t xml:space="preserve"> </w:t>
      </w:r>
      <w:r>
        <w:t xml:space="preserve">"ESG", "CSR", "sustainability", ESG ratings (DJSI, GRESB …). Code Strict = 1. Code E/S/G =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unless a specific pillar is named.</w:t>
      </w:r>
    </w:p>
    <w:p>
      <w:pPr>
        <w:pStyle w:val="BodyText"/>
      </w:pPr>
      <w:r>
        <w:rPr>
          <w:bCs/>
          <w:b/>
        </w:rPr>
        <w:t xml:space="preserve">Extended ESG = 1</w:t>
      </w:r>
      <w:r>
        <w:t xml:space="preserve"> </w:t>
      </w:r>
      <w:r>
        <w:t xml:space="preserve">if Strict = 1,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the metric is an explicit stakeholder condition:</w:t>
      </w:r>
    </w:p>
    <w:p>
      <w:pPr>
        <w:numPr>
          <w:ilvl w:val="0"/>
          <w:numId w:val="1005"/>
        </w:numPr>
        <w:pStyle w:val="Compact"/>
      </w:pPr>
      <w:r>
        <w:t xml:space="preserve">Customer / client / patient satisfaction, experience, retention, complaints, NPS</w:t>
      </w:r>
    </w:p>
    <w:p>
      <w:pPr>
        <w:numPr>
          <w:ilvl w:val="0"/>
          <w:numId w:val="1005"/>
        </w:numPr>
        <w:pStyle w:val="Compact"/>
      </w:pPr>
      <w:r>
        <w:t xml:space="preserve">Product, food or patient safety and product quality</w:t>
      </w:r>
    </w:p>
    <w:p>
      <w:pPr>
        <w:numPr>
          <w:ilvl w:val="0"/>
          <w:numId w:val="1005"/>
        </w:numPr>
        <w:pStyle w:val="Compact"/>
      </w:pPr>
      <w:r>
        <w:t xml:space="preserve">Healthcare quality-of-care measures</w:t>
      </w:r>
    </w:p>
    <w:p>
      <w:pPr>
        <w:numPr>
          <w:ilvl w:val="0"/>
          <w:numId w:val="1005"/>
        </w:numPr>
        <w:pStyle w:val="Compact"/>
      </w:pPr>
      <w:r>
        <w:t xml:space="preserve">Data privacy, fair lending, affordability for customers</w:t>
      </w:r>
    </w:p>
    <w:p>
      <w:pPr>
        <w:numPr>
          <w:ilvl w:val="0"/>
          <w:numId w:val="1005"/>
        </w:numPr>
        <w:pStyle w:val="Compact"/>
      </w:pPr>
      <w:r>
        <w:t xml:space="preserve">Utility service reliability to customers (SAIDI / SAIFI / outage duration)</w:t>
      </w:r>
    </w:p>
    <w:p>
      <w:pPr>
        <w:numPr>
          <w:ilvl w:val="0"/>
          <w:numId w:val="1005"/>
        </w:numPr>
        <w:pStyle w:val="Compact"/>
      </w:pPr>
      <w:r>
        <w:t xml:space="preserve">Community or stakeholder engagement without a defined welfare outcome</w:t>
      </w:r>
    </w:p>
    <w:p>
      <w:pPr>
        <w:pStyle w:val="FirstParagraph"/>
      </w:pPr>
      <w:r>
        <w:rPr>
          <w:bCs/>
          <w:b/>
        </w:rPr>
        <w:t xml:space="preserve">Code 0 (not ESG) for:</w:t>
      </w:r>
    </w:p>
    <w:p>
      <w:pPr>
        <w:numPr>
          <w:ilvl w:val="0"/>
          <w:numId w:val="1006"/>
        </w:numPr>
        <w:pStyle w:val="Compact"/>
      </w:pPr>
      <w:r>
        <w:t xml:space="preserve">Financial, market and operating metrics: EPS, EBITDA, revenue, TSR, cost reduction, production, efficiency, "Operational Excellence" with a financial meaning</w:t>
      </w:r>
    </w:p>
    <w:p>
      <w:pPr>
        <w:numPr>
          <w:ilvl w:val="0"/>
          <w:numId w:val="1006"/>
        </w:numPr>
        <w:pStyle w:val="Compact"/>
      </w:pPr>
      <w:r>
        <w:t xml:space="preserve">Product development and regulatory approvals, e.g. FDA submissions</w:t>
      </w:r>
    </w:p>
    <w:p>
      <w:pPr>
        <w:numPr>
          <w:ilvl w:val="0"/>
          <w:numId w:val="1006"/>
        </w:numPr>
        <w:pStyle w:val="Compact"/>
      </w:pPr>
      <w:r>
        <w:t xml:space="preserve">Bank "safety and soundness"</w:t>
      </w:r>
    </w:p>
    <w:p>
      <w:pPr>
        <w:numPr>
          <w:ilvl w:val="0"/>
          <w:numId w:val="1006"/>
        </w:numPr>
        <w:pStyle w:val="Compact"/>
      </w:pPr>
      <w:r>
        <w:t xml:space="preserve">Clinical "safety and efficacy" data</w:t>
      </w:r>
    </w:p>
    <w:p>
      <w:pPr>
        <w:numPr>
          <w:ilvl w:val="0"/>
          <w:numId w:val="1006"/>
        </w:numPr>
        <w:pStyle w:val="Compact"/>
      </w:pPr>
      <w:r>
        <w:t xml:space="preserve">Insurance "accident-year combined ratio"</w:t>
      </w:r>
    </w:p>
    <w:p>
      <w:pPr>
        <w:numPr>
          <w:ilvl w:val="0"/>
          <w:numId w:val="1006"/>
        </w:numPr>
        <w:pStyle w:val="Compact"/>
      </w:pPr>
      <w:r>
        <w:t xml:space="preserve">Generic compliance, risk management, internal controls, SOX, audit, cybersecurity</w:t>
      </w:r>
    </w:p>
    <w:p>
      <w:pPr>
        <w:numPr>
          <w:ilvl w:val="0"/>
          <w:numId w:val="1006"/>
        </w:numPr>
        <w:pStyle w:val="Compact"/>
      </w:pPr>
      <w:r>
        <w:t xml:space="preserve">Generic talent management, succession planning, leadership development, culture, hiring</w:t>
      </w:r>
    </w:p>
    <w:p>
      <w:pPr>
        <w:numPr>
          <w:ilvl w:val="0"/>
          <w:numId w:val="1006"/>
        </w:numPr>
        <w:pStyle w:val="Compact"/>
      </w:pPr>
      <w:r>
        <w:t xml:space="preserve">Renewable-energy project execution or portfolio growth, i.e. a business line</w:t>
      </w:r>
    </w:p>
    <w:p>
      <w:pPr>
        <w:numPr>
          <w:ilvl w:val="0"/>
          <w:numId w:val="1006"/>
        </w:numPr>
        <w:pStyle w:val="Compact"/>
      </w:pPr>
      <w:r>
        <w:t xml:space="preserve">Company or segment names that happen to contain ESG words (e.g. "Clean Energy Businesses EBITDA", "Peoples Gas")</w:t>
      </w:r>
    </w:p>
    <w:p>
      <w:pPr>
        <w:pStyle w:val="FirstParagraph"/>
      </w:pPr>
      <w:r>
        <w:rPr>
          <w:bCs/>
          <w:b/>
        </w:rPr>
        <w:t xml:space="preserve">Code U (unknown) for:</w:t>
      </w:r>
    </w:p>
    <w:p>
      <w:pPr>
        <w:numPr>
          <w:ilvl w:val="0"/>
          <w:numId w:val="1007"/>
        </w:numPr>
        <w:pStyle w:val="Compact"/>
      </w:pPr>
      <w:r>
        <w:t xml:space="preserve">Placeholders: Individual Performance, Strategic Objectives, Corporate Goals, Discretionary, Non-Financial, Other, Leadership (alone), Operational Goals, Scorecard</w:t>
      </w:r>
    </w:p>
    <w:p>
      <w:pPr>
        <w:numPr>
          <w:ilvl w:val="0"/>
          <w:numId w:val="1007"/>
        </w:numPr>
        <w:pStyle w:val="Compact"/>
      </w:pPr>
      <w:r>
        <w:t xml:space="preserve">Texts too ambiguous to decide, e.g. "Water", "Energy Efficiency" with no environmental context, "Integrity", "Notices of Violation" with no environmental context</w:t>
      </w:r>
    </w:p>
    <w:p>
      <w:pPr>
        <w:numPr>
          <w:ilvl w:val="0"/>
          <w:numId w:val="1007"/>
        </w:numPr>
        <w:pStyle w:val="Compact"/>
      </w:pPr>
      <w:r>
        <w:t xml:space="preserve">A blank text with a placeholder label</w:t>
      </w:r>
    </w:p>
    <w:p>
      <w:pPr>
        <w:pStyle w:val="FirstParagraph"/>
      </w:pPr>
      <w:r>
        <w:rPr>
          <w:bCs/>
          <w:b/>
        </w:rPr>
        <w:t xml:space="preserve">Mixed texts:</w:t>
      </w:r>
      <w:r>
        <w:t xml:space="preserve"> </w:t>
      </w:r>
      <w:r>
        <w:t xml:space="preserve">if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component of the text is an ESG condition (e.g. "EPS and Safety"), code Strict = 1.</w:t>
      </w:r>
    </w:p>
    <w:bookmarkEnd w:id="22"/>
    <w:bookmarkStart w:id="23" w:name="process"/>
    <w:p>
      <w:pPr>
        <w:pStyle w:val="Heading2"/>
      </w:pPr>
      <w:r>
        <w:t xml:space="preserve">Process</w:t>
      </w:r>
    </w:p>
    <w:p>
      <w:pPr>
        <w:numPr>
          <w:ilvl w:val="0"/>
          <w:numId w:val="1008"/>
        </w:numPr>
        <w:pStyle w:val="Compact"/>
      </w:pPr>
      <w:r>
        <w:t xml:space="preserve">Two coders code independently. Use the</w:t>
      </w:r>
      <w:r>
        <w:t xml:space="preserve"> </w:t>
      </w:r>
      <w:r>
        <w:rPr>
          <w:rStyle w:val="VerbatimChar"/>
        </w:rPr>
        <w:t xml:space="preserve">coder_id</w:t>
      </w:r>
      <w:r>
        <w:t xml:space="preserve"> </w:t>
      </w:r>
      <w:r>
        <w:t xml:space="preserve">column.</w:t>
      </w:r>
    </w:p>
    <w:p>
      <w:pPr>
        <w:numPr>
          <w:ilvl w:val="0"/>
          <w:numId w:val="1008"/>
        </w:numPr>
        <w:pStyle w:val="Compact"/>
      </w:pPr>
      <w:r>
        <w:t xml:space="preserve">Report Cohen's kappa; step 13 computes it automatically.</w:t>
      </w:r>
    </w:p>
    <w:p>
      <w:pPr>
        <w:numPr>
          <w:ilvl w:val="0"/>
          <w:numId w:val="1008"/>
        </w:numPr>
        <w:pStyle w:val="Compact"/>
      </w:pPr>
      <w:r>
        <w:t xml:space="preserve">A third reviewer adjudicates every disagreement and every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conflict.</w:t>
      </w:r>
    </w:p>
    <w:p>
      <w:pPr>
        <w:numPr>
          <w:ilvl w:val="0"/>
          <w:numId w:val="1008"/>
        </w:numPr>
        <w:pStyle w:val="Compact"/>
      </w:pPr>
      <w:r>
        <w:t xml:space="preserve">Do not change the sample. It was drawn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the rules were frozen (rules MD5 is stored in the key file), and it must never be redrawn once coding has started.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2026-10-31T14:49:08Z</dcterms:created>
  <dcterms:modified xsi:type="dcterms:W3CDTF">2026-10-31T14:49:08Z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