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2" w:name="Xfbbf0b96edac2030a02f6202389f37e133b43f3"/>
    <w:p>
      <w:pPr>
        <w:pStyle w:val="Heading1"/>
      </w:pPr>
      <w:r>
        <w:t xml:space="preserve">Text-Based ESG Executive Incentives from ISS Incentive Lab (1998–2021)</w:t>
      </w:r>
    </w:p>
    <w:bookmarkStart w:id="21" w:name="Xd9c24901cde67010ac7875c3c8d2e83f7746955"/>
    <w:p>
      <w:pPr>
        <w:pStyle w:val="Heading2"/>
      </w:pPr>
      <w:r>
        <w:t xml:space="preserve">Measurement Methodology and Validation Report — classifier v1.1</w:t>
      </w:r>
    </w:p>
    <w:p>
      <w:pPr>
        <w:pStyle w:val="BlockText"/>
      </w:pPr>
      <w:r>
        <w:rPr>
          <w:bCs/>
          <w:b/>
        </w:rPr>
        <w:t xml:space="preserve">Generated file — do not edit by hand.</w:t>
      </w:r>
      <w:r>
        <w:t xml:space="preserve"> </w:t>
      </w:r>
      <w:r>
        <w:rPr>
          <w:rStyle w:val="VerbatimChar"/>
        </w:rPr>
        <w:t xml:space="preserve">Code/18_build_reports.py</w:t>
      </w:r>
      <w:r>
        <w:t xml:space="preserve"> </w:t>
      </w:r>
      <w:r>
        <w:t xml:space="preserve">rebuilds this report from the current pipeline outputs on every run. The narrative lives in</w:t>
      </w:r>
      <w:r>
        <w:t xml:space="preserve"> </w:t>
      </w:r>
      <w:r>
        <w:rPr>
          <w:rStyle w:val="VerbatimChar"/>
        </w:rPr>
        <w:t xml:space="preserve">Code/docgen/methodology_template.md</w:t>
      </w:r>
      <w:r>
        <w:t xml:space="preserve">; every number is read from the outputs named in each section. Generated 2026-10-31 16:56 (git dd6c450).</w:t>
      </w:r>
    </w:p>
    <w:p>
      <w:pPr>
        <w:pStyle w:val="BlockText"/>
      </w:pPr>
      <w:r>
        <w:rPr>
          <w:bCs/>
          <w:b/>
        </w:rPr>
        <w:t xml:space="preserve">Status: PROVISIONAL.</w:t>
      </w:r>
      <w:r>
        <w:t xml:space="preserve"> </w:t>
      </w:r>
      <w:r>
        <w:t xml:space="preserve">Every label comes from the deterministic classifier v1.1. No adjudicated human reference labels exist yet, so</w:t>
      </w:r>
      <w:r>
        <w:t xml:space="preserve"> </w:t>
      </w:r>
      <w:r>
        <w:rPr>
          <w:bCs/>
          <w:b/>
        </w:rPr>
        <w:t xml:space="preserve">no accuracy statistic is reported</w:t>
      </w:r>
      <w:r>
        <w:t xml:space="preserve">. The blind validation sample (601 units, frozen under v1.0), the coding guideline and the scoring code are ready (§12).</w:t>
      </w:r>
    </w:p>
    <w:p>
      <w:pPr>
        <w:pStyle w:val="BlockText"/>
      </w:pPr>
      <w:r>
        <w:t xml:space="preserve">Narrative checks: all 10 interpretive statements in this report are supported by the current outputs.</w:t>
      </w:r>
    </w:p>
    <w:bookmarkStart w:id="20" w:name="中文摘要"/>
    <w:p>
      <w:pPr>
        <w:pStyle w:val="Heading3"/>
      </w:pPr>
      <w:r>
        <w:t xml:space="preserve">中文摘要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范围与方法</w:t>
      </w:r>
      <w:r>
        <w:t xml:space="preserve">：对 ISS Incentive Lab 1998–2021 年全部 814,091 条业绩目标记录，用同一套文本规则（v1.1，57 条规则）做 ESG 分类，产出 KPI、Grant、高管、CEO、非 CEO 和公司-年层面的数据集。</w:t>
      </w:r>
    </w:p>
    <w:p>
      <w:pPr>
        <w:numPr>
          <w:ilvl w:val="1"/>
          <w:numId w:val="1002"/>
        </w:numPr>
        <w:pStyle w:val="Compact"/>
      </w:pPr>
      <w:r>
        <w:t xml:space="preserve">每个标签都是 1 / 0 / 未知三态：只有找到明确的非 ESG 证据才记 0，找不到 ESG 关键词本身不等于 0。</w:t>
      </w:r>
    </w:p>
    <w:p>
      <w:pPr>
        <w:numPr>
          <w:ilvl w:val="1"/>
          <w:numId w:val="1002"/>
        </w:numPr>
        <w:pStyle w:val="Compact"/>
      </w:pPr>
      <w:r>
        <w:t xml:space="preserve">ISS 自带的 ESG 分类（metricType 与 2018 年新增的 metric 标签）只用于诊断对比，从不作为分类依据。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2018 年的跳升来自 ISS 改分类</w:t>
      </w:r>
      <w:r>
        <w:t xml:space="preserve">：按 ISS 原分类，含 ESG 条件的公司-年比例从 2017 年的 0.3% 跳到 2018 年的 13.7%。按统一文本分类，业绩型 grant 的公司-年 Strict ESG 采用率下界只从 14.6% 变为 15.4%。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真正的上升在 2020–2021 年</w:t>
      </w:r>
      <w:r>
        <w:t xml:space="preserve">：采用率下界 2020 年为 19.4%，2021 年为 30.4%。增长主要来自新采用的公司（广延边际），社会类（S）条件占主体。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未知比例如实报告</w:t>
      </w:r>
      <w:r>
        <w:t xml:space="preserve">：许多年度奖金指标（如 "Individual Performance"）无法判断是否属于 ESG。因此每个比例都给出下界 lb（未知按 0）、完整样本 cc 和上界 ub（未知按 1）。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验证状态</w:t>
      </w:r>
      <w:r>
        <w:t xml:space="preserve">：尚未完成。在人工标注返回之前，所有标签都是暂定（Provisional），不报告任何准确率。601 个单元的盲编码样本、编码手册与评分程序均已就绪。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本版本修改</w:t>
      </w:r>
      <w:r>
        <w:t xml:space="preserve">：v1.1 相对 v1.0 修正了 25 项审查发现（见第 0 节与</w:t>
      </w:r>
      <w:r>
        <w:t xml:space="preserve"> </w:t>
      </w:r>
      <w:r>
        <w:rPr>
          <w:rStyle w:val="VerbatimChar"/>
        </w:rPr>
        <w:t xml:space="preserve">07_Review_and_Changes_v1.1.docx</w:t>
      </w:r>
      <w:r>
        <w:t xml:space="preserve">）。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Xe47d44a2044ddc63d0b85ca7b132ac590125280"/>
    <w:p>
      <w:pPr>
        <w:pStyle w:val="Heading2"/>
      </w:pPr>
      <w:r>
        <w:t xml:space="preserve">0. Changes in v1.1 relative to v1.0</w:t>
      </w:r>
    </w:p>
    <w:p>
      <w:pPr>
        <w:pStyle w:val="FirstParagraph"/>
      </w:pPr>
      <w:r>
        <w:t xml:space="preserve">An independent review of the complete v1.0 pipeline covered rules, aggregation, validation code and documentation, checked against the data. It produced 25 findings (6 high severity).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Records.</w:t>
      </w:r>
      <w:r>
        <w:t xml:space="preserve"> </w:t>
      </w:r>
      <w:r>
        <w:t xml:space="preserve">Each finding, its evidence and its fix are in</w:t>
      </w:r>
      <w:r>
        <w:t xml:space="preserve"> </w:t>
      </w:r>
      <w:r>
        <w:rPr>
          <w:rStyle w:val="VerbatimChar"/>
        </w:rPr>
        <w:t xml:space="preserve">Documentation/review_findings_v1.1.csv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Label changes.</w:t>
      </w:r>
      <w:r>
        <w:t xml:space="preserve"> </w:t>
      </w:r>
      <w:r>
        <w:t xml:space="preserve">469 classification units (3,678 goal records) change at least one label (Strict, Extended, E, S or G). The full transition matrix is in</w:t>
      </w:r>
      <w:r>
        <w:t xml:space="preserve"> </w:t>
      </w:r>
      <w:r>
        <w:rPr>
          <w:rStyle w:val="VerbatimChar"/>
        </w:rPr>
        <w:t xml:space="preserve">Documentation/version_comparison_v1.0_to_v1.1_label_transitions.csv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Rule set unchanged in principle.</w:t>
      </w:r>
      <w:r>
        <w:t xml:space="preserve"> </w:t>
      </w:r>
      <w:r>
        <w:t xml:space="preserve">The rules still never reference years or ISS categories. The same rules apply to all years.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Bare 'governance' was Strict G, contrary to task brief 4.3 (governance must be specific)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business lines (MSCI 'ESG segments net new sales', 'ESG-Dedicated AUM') were Strict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'Customer Engagement Index' was Strict S via the employee 'engagement index' rule; 'Customer/Partner Engagement' was Strict 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Worker radiation dose (nuclear), loss of containment, 'LCEs', 'Retention ... of high potential employees', 'Employee one-year retention' were Unknown (false negatives)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Spurious Unknowns: discretionary cash flow, insurance 'Individual Markets/Life' lines, strategic diversification, balance sheet, CASM/RASM, dayrates, clinical dose milestones, community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'Satisfaction of strategic sales goals' (fulfilment) was Extended (customer satisfaction)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Community Reinvestment Act results were only Extended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Government relations were Extended (stakeholder); lobbying is not an ESG performance outcome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'mental health' lacked a word boundary (matched inside 'environmental health'); 'diverse' lacked one (Diversey)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Pillar label set to 0 although an ambiguous word for that pillar was present (e.g. 'Safety and Governance' -&gt; G=0)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esg_extended_only = 1 when Strict was Unknown and Extended = 1 (should be Unknown)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E/S/G adoption required ALL performance grants to be non-ESG for a 0; a firm with only S conditions got E = Unknown instead of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E/S/G grant and KPI shares were published as exact although they are lower bounds (general ESG terms leave pillars unresolved)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144 duplicated grantIDs had conflicting performancetype ('Abs' and 'Time'; 3 also 'Rel'); v1.0 kept the first row by accident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 whose declared number of objectives exceeds recorded objectives were classified 0 although the missing objectives could be ESG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share used grant-date fair value only, which is missing for 98.6% of cash-incentive awards (ISS stores their target payout in nonEquityTarget); ESG sits mostly in annual cash plans, so exposure was understated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measure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Counts were missing (not 0) for CEOs and firm-years without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analysis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Balanced panel selected firms whose adoption was KNOWN every year (selection on the outcome; 40% adoption)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Scoring code had never been executed: 'U' labels broke numeric comparisons, joins used version-specific text_id, bootstrap ignored strata, kappa mishandled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reproducibility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text_id was a sequence number (changes when units change); the frozen sample existed only in a local file with ISS 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Methodology report numbers were hand-typed (would go stale after any data update); several variable definitions were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transparency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independent check of the AGHJ implementation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Stata export forced latin-1 and replaced non-latin-1 characters (e.g. ’ —) with '?' in every string variable (found by the v1.1 audit: text_id hash check failed)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BEFORE release: in the rewritten aggregation the helper count for pillar S shared a name with the Strict count, so S adoption equalled Strict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development 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Caught BEFORE release by reviewing every changed unit: 'work environment' fell to the Environmental rule; 'placement' matched inside 'replacement'; specific board-governance phrases became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fixed in v1.1</w:t>
            </w:r>
          </w:p>
        </w:tc>
      </w:tr>
    </w:tbl>
    <w:p>
      <w:pPr>
        <w:pStyle w:val="BodyText"/>
      </w:pPr>
      <w:r>
        <w:t xml:space="preserve">Firm-year Strict adoption, lower bound (performance grants), v1.0 → v1.1: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lb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lb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lb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 lb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lb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 lb v1.1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share v1.0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 share v1.1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</w:tr>
    </w:tbl>
    <w:bookmarkEnd w:id="22"/>
    <w:bookmarkStart w:id="23" w:name="X936d7b73f4e9439050913fa9dd33facd613092b"/>
    <w:p>
      <w:pPr>
        <w:pStyle w:val="Heading2"/>
      </w:pPr>
      <w:r>
        <w:t xml:space="preserve">1. Raw ISS data inventory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Location</w:t>
      </w:r>
      <w:r>
        <w:t xml:space="preserve">: the 18 Stata files under</w:t>
      </w:r>
      <w:r>
        <w:t xml:space="preserve"> </w:t>
      </w:r>
      <w:r>
        <w:rPr>
          <w:rStyle w:val="VerbatimChar"/>
        </w:rPr>
        <w:t xml:space="preserve">01. Incentive Lab/</w:t>
      </w:r>
      <w:r>
        <w:t xml:space="preserve"> </w:t>
      </w:r>
      <w:r>
        <w:t xml:space="preserve">plus the ISS User Guide (8 July 2021).</w:t>
      </w:r>
    </w:p>
    <w:p>
      <w:pPr>
        <w:numPr>
          <w:ilvl w:val="0"/>
          <w:numId w:val="1004"/>
        </w:numPr>
      </w:pPr>
      <w:r>
        <w:rPr>
          <w:bCs/>
          <w:b/>
        </w:rPr>
        <w:t xml:space="preserve">Inventory output</w:t>
      </w:r>
      <w:r>
        <w:t xml:space="preserve">:</w:t>
      </w:r>
      <w:r>
        <w:t xml:space="preserve"> </w:t>
      </w:r>
      <w:r>
        <w:rPr>
          <w:rStyle w:val="VerbatimChar"/>
        </w:rPr>
        <w:t xml:space="preserve">Documentation/data_inventory_files.csv</w:t>
      </w:r>
      <w:r>
        <w:t xml:space="preserve"> </w:t>
      </w:r>
      <w:r>
        <w:t xml:space="preserve">lists, for every file:</w:t>
      </w:r>
    </w:p>
    <w:p>
      <w:pPr>
        <w:numPr>
          <w:ilvl w:val="1"/>
          <w:numId w:val="1005"/>
        </w:numPr>
        <w:pStyle w:val="Compact"/>
      </w:pPr>
      <w:r>
        <w:t xml:space="preserve">rows and columns;</w:t>
      </w:r>
    </w:p>
    <w:p>
      <w:pPr>
        <w:numPr>
          <w:ilvl w:val="1"/>
          <w:numId w:val="1005"/>
        </w:numPr>
        <w:pStyle w:val="Compact"/>
      </w:pPr>
      <w:r>
        <w:t xml:space="preserve">candidate-key duplicate counts;</w:t>
      </w:r>
    </w:p>
    <w:p>
      <w:pPr>
        <w:numPr>
          <w:ilvl w:val="1"/>
          <w:numId w:val="1005"/>
        </w:numPr>
        <w:pStyle w:val="Compact"/>
      </w:pPr>
      <w:r>
        <w:t xml:space="preserve">year range.</w:t>
      </w:r>
    </w:p>
    <w:p>
      <w:pPr>
        <w:numPr>
          <w:ilvl w:val="0"/>
          <w:numId w:val="1000"/>
        </w:numPr>
      </w:pPr>
      <w:r>
        <w:rPr>
          <w:rStyle w:val="VerbatimChar"/>
        </w:rPr>
        <w:t xml:space="preserve">data_inventory_fields.csv</w:t>
      </w:r>
      <w:r>
        <w:t xml:space="preserve"> </w:t>
      </w:r>
      <w:r>
        <w:t xml:space="preserve">lists every field with its dtype, non-missing count, number of</w:t>
      </w:r>
      <w:r>
        <w:t xml:space="preserve"> </w:t>
      </w:r>
      <w:r>
        <w:rPr>
          <w:rStyle w:val="VerbatimChar"/>
        </w:rPr>
        <w:t xml:space="preserve">-9999</w:t>
      </w:r>
      <w:r>
        <w:t xml:space="preserve"> </w:t>
      </w:r>
      <w:r>
        <w:t xml:space="preserve">missing codes and blanks.</w:t>
      </w:r>
    </w:p>
    <w:p>
      <w:pPr>
        <w:pStyle w:val="FirstParagraph"/>
      </w:pPr>
      <w:r>
        <w:t xml:space="preserve">Files used: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08. Grants of Plan-Based Awards Table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grants, award attributes, performance 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469,573 (469,429 distinct grantID)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02. Absolute Performance Goals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text and payout (absolute 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716,130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16. Relative Performance Goals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text and peer benchmark (relative goals)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89,985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03. Accelerated Performance Goals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acceleration conditions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12. Participant Data by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identity, title, role codes, currentCEO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474,170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05. Company Data by Fiscal 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firm-year universe, name, ticker, CUSIP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33,328</w:t>
            </w:r>
          </w:p>
        </w:tc>
      </w:tr>
    </w:tbl>
    <w:p>
      <w:pPr>
        <w:pStyle w:val="BodyText"/>
      </w:pPr>
      <w:r>
        <w:t xml:space="preserve">The other files (ownership, director compensation, peers, holding requirements, consultants, outstanding equity, exercises) are not needed for the construct.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Summary Compensation Table (file 18).</w:t>
      </w:r>
      <w:r>
        <w:t xml:space="preserve"> </w:t>
      </w:r>
      <w:r>
        <w:t xml:space="preserve">It has</w:t>
      </w:r>
      <w:r>
        <w:t xml:space="preserve"> </w:t>
      </w:r>
      <w:r>
        <w:rPr>
          <w:bCs/>
          <w:b/>
        </w:rPr>
        <w:t xml:space="preserve">no participantID column</w:t>
      </w:r>
      <w:r>
        <w:t xml:space="preserve"> </w:t>
      </w:r>
      <w:r>
        <w:t xml:space="preserve">in this delivery, although the guide lists one. It therefore cannot be linked to executives and is not used.</w:t>
      </w:r>
    </w:p>
    <w:bookmarkEnd w:id="23"/>
    <w:bookmarkStart w:id="24" w:name="X3107107e2c56770f2628e553c358d95c2d1a679"/>
    <w:p>
      <w:pPr>
        <w:pStyle w:val="Heading2"/>
      </w:pPr>
      <w:r>
        <w:t xml:space="preserve">2. Source files and field definitions</w:t>
      </w:r>
    </w:p>
    <w:p>
      <w:pPr>
        <w:pStyle w:val="FirstParagraph"/>
      </w:pPr>
      <w:r>
        <w:t xml:space="preserve">Field meanings follow the ISS User Guide; the fields are listed in</w:t>
      </w:r>
      <w:r>
        <w:t xml:space="preserve"> </w:t>
      </w:r>
      <w:r>
        <w:rPr>
          <w:rStyle w:val="VerbatimChar"/>
        </w:rPr>
        <w:t xml:space="preserve">data_inventory_fields.csv</w:t>
      </w:r>
      <w:r>
        <w:t xml:space="preserve">. Key conventions verified in the data: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Missing codes.</w:t>
      </w:r>
      <w:r>
        <w:t xml:space="preserve"> </w:t>
      </w:r>
      <w:r>
        <w:t xml:space="preserve">Numeric missing values are coded</w:t>
      </w:r>
      <w:r>
        <w:t xml:space="preserve"> </w:t>
      </w:r>
      <w:r>
        <w:rPr>
          <w:rStyle w:val="VerbatimChar"/>
        </w:rPr>
        <w:t xml:space="preserve">-9999.xx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-99999</w:t>
      </w:r>
      <w:r>
        <w:t xml:space="preserve"> </w:t>
      </w:r>
      <w:r>
        <w:t xml:space="preserve">also occurs. They are converted to missing:</w:t>
      </w:r>
    </w:p>
    <w:p>
      <w:pPr>
        <w:numPr>
          <w:ilvl w:val="1"/>
          <w:numId w:val="1008"/>
        </w:numPr>
        <w:pStyle w:val="Compact"/>
      </w:pPr>
      <w:r>
        <w:t xml:space="preserve">25,159</w:t>
      </w:r>
      <w:r>
        <w:t xml:space="preserve"> </w:t>
      </w:r>
      <w:r>
        <w:rPr>
          <w:rStyle w:val="VerbatimChar"/>
        </w:rPr>
        <w:t xml:space="preserve">grantDateFV</w:t>
      </w:r>
      <w:r>
        <w:t xml:space="preserve"> </w:t>
      </w:r>
      <w:r>
        <w:t xml:space="preserve">values;</w:t>
      </w:r>
    </w:p>
    <w:p>
      <w:pPr>
        <w:numPr>
          <w:ilvl w:val="1"/>
          <w:numId w:val="1008"/>
        </w:numPr>
        <w:pStyle w:val="Compact"/>
      </w:pPr>
      <w:r>
        <w:t xml:space="preserve">22,968</w:t>
      </w:r>
      <w:r>
        <w:t xml:space="preserve"> </w:t>
      </w:r>
      <w:r>
        <w:rPr>
          <w:rStyle w:val="VerbatimChar"/>
        </w:rPr>
        <w:t xml:space="preserve">nonEquityTarget</w:t>
      </w:r>
      <w:r>
        <w:t xml:space="preserve"> </w:t>
      </w:r>
      <w:r>
        <w:t xml:space="preserve">values.</w:t>
      </w:r>
    </w:p>
    <w:p>
      <w:pPr>
        <w:numPr>
          <w:ilvl w:val="0"/>
          <w:numId w:val="1000"/>
        </w:numPr>
      </w:pPr>
      <w:r>
        <w:t xml:space="preserve">Date missing values are coded</w:t>
      </w:r>
      <w:r>
        <w:t xml:space="preserve"> </w:t>
      </w:r>
      <w:r>
        <w:rPr>
          <w:rStyle w:val="VerbatimChar"/>
        </w:rPr>
        <w:t xml:space="preserve">01/01/9999</w:t>
      </w:r>
      <w:r>
        <w:t xml:space="preserve">; 117,906 grant dates are converted to missing. Impossible values are also set to missing (n/a negative</w:t>
      </w:r>
      <w:r>
        <w:t xml:space="preserve"> </w:t>
      </w:r>
      <w:r>
        <w:rPr>
          <w:rStyle w:val="VerbatimChar"/>
        </w:rPr>
        <w:t xml:space="preserve">grantDateFV</w:t>
      </w:r>
      <w:r>
        <w:t xml:space="preserve">, n/a negative</w:t>
      </w:r>
      <w:r>
        <w:t xml:space="preserve"> </w:t>
      </w:r>
      <w:r>
        <w:rPr>
          <w:rStyle w:val="VerbatimChar"/>
        </w:rPr>
        <w:t xml:space="preserve">vestHighGrant</w:t>
      </w:r>
      <w:r>
        <w:t xml:space="preserve">).</w:t>
      </w:r>
    </w:p>
    <w:p>
      <w:pPr>
        <w:numPr>
          <w:ilvl w:val="0"/>
          <w:numId w:val="1007"/>
        </w:numPr>
      </w:pPr>
      <w:r>
        <w:rPr>
          <w:bCs/>
          <w:b/>
        </w:rPr>
        <w:t xml:space="preserve">Fiscal year.</w:t>
      </w:r>
      <w:r>
        <w:t xml:space="preserve"> </w:t>
      </w:r>
      <w:r>
        <w:t xml:space="preserve">Defined by ISS's 10-July rule. Goal-record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t xml:space="preserve">equals the grant's</w:t>
      </w:r>
      <w:r>
        <w:t xml:space="preserve"> </w:t>
      </w:r>
      <w:r>
        <w:rPr>
          <w:rStyle w:val="VerbatimChar"/>
        </w:rPr>
        <w:t xml:space="preserve">FiscalYear</w:t>
      </w:r>
      <w:r>
        <w:t xml:space="preserve"> </w:t>
      </w:r>
      <w:r>
        <w:t xml:space="preserve">in n/a of matched records.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metricType</w:t>
      </w:r>
      <w:r>
        <w:rPr>
          <w:bCs/>
          <w:b/>
        </w:rPr>
        <w:t xml:space="preserve">.</w:t>
      </w:r>
      <w:r>
        <w:t xml:space="preserve"> </w:t>
      </w:r>
      <w:r>
        <w:t xml:space="preserve">Before 2018 it takes Accounting / Other / Stock Price. From 2018 it is granular and adds Social / Environment / CSR. "Market-related" is the old "Stock Price" (User Guide).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metric</w:t>
      </w:r>
      <w:r>
        <w:rPr>
          <w:bCs/>
          <w:b/>
        </w:rPr>
        <w:t xml:space="preserve">.</w:t>
      </w:r>
      <w:r>
        <w:t xml:space="preserve"> </w:t>
      </w:r>
      <w:r>
        <w:t xml:space="preserve">The ESG labels (Staff Health And Safety, Diversity, Csr, Climate Change And Energy Use, …) belong to the 2018 re-taxonomy: only</w:t>
      </w:r>
      <w:r>
        <w:t xml:space="preserve"> </w:t>
      </w:r>
      <w:r>
        <w:rPr>
          <w:bCs/>
          <w:b/>
        </w:rPr>
        <w:t xml:space="preserve">58 of 10,603</w:t>
      </w:r>
      <w:r>
        <w:t xml:space="preserve"> </w:t>
      </w:r>
      <w:r>
        <w:t xml:space="preserve">rows carrying them are dated before 2018.</w:t>
      </w:r>
    </w:p>
    <w:p>
      <w:pPr>
        <w:numPr>
          <w:ilvl w:val="0"/>
          <w:numId w:val="1007"/>
        </w:numPr>
      </w:pPr>
      <w:r>
        <w:rPr>
          <w:rStyle w:val="VerbatimChar"/>
          <w:bCs/>
          <w:b/>
        </w:rPr>
        <w:t xml:space="preserve">metricOther</w:t>
      </w:r>
      <w:r>
        <w:rPr>
          <w:bCs/>
          <w:b/>
        </w:rPr>
        <w:t xml:space="preserve">.</w:t>
      </w:r>
      <w:r>
        <w:t xml:space="preserve"> </w:t>
      </w:r>
      <w:r>
        <w:t xml:space="preserve">This is the descriptive text. Its blank share is a text-availability break, which is reported, not imputed: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68%</w:t>
      </w:r>
      <w:r>
        <w:t xml:space="preserve"> </w:t>
      </w:r>
      <w:r>
        <w:t xml:space="preserve">of goal records in 1998;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50%</w:t>
      </w:r>
      <w:r>
        <w:t xml:space="preserve"> </w:t>
      </w:r>
      <w:r>
        <w:t xml:space="preserve">in 2010;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3%</w:t>
      </w:r>
      <w:r>
        <w:t xml:space="preserve"> </w:t>
      </w:r>
      <w:r>
        <w:t xml:space="preserve">in 2018;</w:t>
      </w:r>
    </w:p>
    <w:p>
      <w:pPr>
        <w:numPr>
          <w:ilvl w:val="1"/>
          <w:numId w:val="1009"/>
        </w:numPr>
        <w:pStyle w:val="Compact"/>
      </w:pPr>
      <w:r>
        <w:rPr>
          <w:bCs/>
          <w:b/>
        </w:rPr>
        <w:t xml:space="preserve">0%</w:t>
      </w:r>
      <w:r>
        <w:t xml:space="preserve"> </w:t>
      </w:r>
      <w:r>
        <w:t xml:space="preserve">in 2021.</w:t>
      </w:r>
    </w:p>
    <w:bookmarkEnd w:id="24"/>
    <w:bookmarkStart w:id="25" w:name="Xe20dcb257ccbb15bae3b7d78a91f8e42522934c"/>
    <w:p>
      <w:pPr>
        <w:pStyle w:val="Heading2"/>
      </w:pPr>
      <w:r>
        <w:t xml:space="preserve">3. Entity and identifier relationships</w:t>
      </w:r>
    </w:p>
    <w:p>
      <w:pPr>
        <w:pStyle w:val="SourceCode"/>
      </w:pPr>
      <w:r>
        <w:rPr>
          <w:rStyle w:val="VerbatimChar"/>
        </w:rPr>
        <w:t xml:space="preserve">CompanyFY (CIK, fiscalYear) 1───* GpbaGrant (grantID; CIK, FY, FM, participantID)</w:t>
      </w:r>
      <w:r>
        <w:br/>
      </w:r>
      <w:r>
        <w:rPr>
          <w:rStyle w:val="VerbatimChar"/>
        </w:rPr>
        <w:t xml:space="preserve">ParticipantFY (CIK, FY, FM, participantID) 1───* GpbaGrant</w:t>
      </w:r>
      <w:r>
        <w:br/>
      </w:r>
      <w:r>
        <w:rPr>
          <w:rStyle w:val="VerbatimChar"/>
        </w:rPr>
        <w:t xml:space="preserve">GpbaGrant 1───* GpbaAbs / GpbaRel / GpbaAcc  (grantId, goal id, periodID)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Goal ids are recycled across grants.</w:t>
      </w:r>
      <w:r>
        <w:t xml:space="preserve"> </w:t>
      </w:r>
      <w:r>
        <w:rPr>
          <w:rStyle w:val="VerbatimChar"/>
        </w:rPr>
        <w:t xml:space="preserve">absId</w:t>
      </w:r>
      <w:r>
        <w:t xml:space="preserve"> </w:t>
      </w:r>
      <w:r>
        <w:t xml:space="preserve">alone has 191,919 duplicates and</w:t>
      </w:r>
      <w:r>
        <w:t xml:space="preserve"> </w:t>
      </w:r>
      <w:r>
        <w:rPr>
          <w:rStyle w:val="VerbatimChar"/>
        </w:rPr>
        <w:t xml:space="preserve">(absId, periodID)</w:t>
      </w:r>
      <w:r>
        <w:t xml:space="preserve"> </w:t>
      </w:r>
      <w:r>
        <w:t xml:space="preserve">has 54,978. The true record key is</w:t>
      </w:r>
      <w:r>
        <w:t xml:space="preserve"> </w:t>
      </w:r>
      <w:r>
        <w:rPr>
          <w:bCs/>
          <w:b/>
        </w:rPr>
        <w:t xml:space="preserve">(goal_source, grantId, goal_id, periodId)</w:t>
      </w:r>
      <w:r>
        <w:t xml:space="preserve">, which has 0 duplicates in all three goal files (asserted in Step 03).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Duplicated grantIDs.</w:t>
      </w:r>
      <w:r>
        <w:t xml:space="preserve"> </w:t>
      </w:r>
      <w:r>
        <w:t xml:space="preserve">141 grantIDs occur more than once (285 rows, 144 surplus rows).</w:t>
      </w:r>
    </w:p>
    <w:p>
      <w:pPr>
        <w:numPr>
          <w:ilvl w:val="1"/>
          <w:numId w:val="1011"/>
        </w:numPr>
        <w:pStyle w:val="Compact"/>
      </w:pPr>
      <w:r>
        <w:t xml:space="preserve">The rows are identical except</w:t>
      </w:r>
      <w:r>
        <w:t xml:space="preserve"> </w:t>
      </w:r>
      <w:r>
        <w:rPr>
          <w:rStyle w:val="VerbatimChar"/>
        </w:rPr>
        <w:t xml:space="preserve">performancetype</w:t>
      </w:r>
      <w:r>
        <w:t xml:space="preserve">, which takes conflicting values (e.g.</w:t>
      </w:r>
      <w:r>
        <w:t xml:space="preserve"> </w:t>
      </w:r>
      <w:r>
        <w:rPr>
          <w:rStyle w:val="VerbatimChar"/>
        </w:rPr>
        <w:t xml:space="preserve">Abs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Time</w:t>
      </w:r>
      <w:r>
        <w:t xml:space="preserve">).</w:t>
      </w:r>
    </w:p>
    <w:p>
      <w:pPr>
        <w:numPr>
          <w:ilvl w:val="1"/>
          <w:numId w:val="1011"/>
        </w:numPr>
        <w:pStyle w:val="Compact"/>
      </w:pPr>
      <w:r>
        <w:t xml:space="preserve">Since v1.1, the type is resolved from the grant's goal records: ABS → Abs, REL → Rel, ABS+REL → AbsRel, none → Time. The grant is flagged</w:t>
      </w:r>
      <w:r>
        <w:t xml:space="preserve"> </w:t>
      </w:r>
      <w:r>
        <w:rPr>
          <w:rStyle w:val="VerbatimChar"/>
        </w:rPr>
        <w:t xml:space="preserve">grant_dup_resolved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Goal-to-grant linkage.</w:t>
      </w:r>
      <w:r>
        <w:t xml:space="preserve"> </w:t>
      </w:r>
      <w:r>
        <w:t xml:space="preserve">99.9988% of goal records match a grant. 10 records belonging to 3 grantIDs are absent from the grants table; they are listed in</w:t>
      </w:r>
      <w:r>
        <w:t xml:space="preserve"> </w:t>
      </w:r>
      <w:r>
        <w:rPr>
          <w:rStyle w:val="VerbatimChar"/>
        </w:rPr>
        <w:t xml:space="preserve">Data/Intermediate/audit_goal_grants_missing_in_grant_table.csv</w:t>
      </w:r>
      <w:r>
        <w:t xml:space="preserve">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ParticipantFY key.</w:t>
      </w:r>
      <w:r>
        <w:t xml:space="preserve"> </w:t>
      </w:r>
      <w:r>
        <w:t xml:space="preserve">The table is unique on (CIK, FY, FM, participantID), but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on (CIK, FY, participantID): there are 1,007 duplicates caused by fiscal-month changes. Grants are therefore matched on all four fields. 99.975% match; 117 unmatched grants are listed in an audit file.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CompanyFY</w:t>
      </w:r>
      <w:r>
        <w:t xml:space="preserve"> </w:t>
      </w:r>
      <w:r>
        <w:t xml:space="preserve">is unique on (CIK, FY). 776 firm-years have no grants. Every grant firm-year exists in CompanyFY.</w:t>
      </w:r>
    </w:p>
    <w:bookmarkEnd w:id="25"/>
    <w:bookmarkStart w:id="26" w:name="X79002d1ec2a43bcc84c3d4f7f94b2228babdb9d"/>
    <w:p>
      <w:pPr>
        <w:pStyle w:val="Heading2"/>
      </w:pPr>
      <w:r>
        <w:t xml:space="preserve">4. Definition of distinct performance KPIs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Raw goal record</w:t>
      </w:r>
      <w:r>
        <w:t xml:space="preserve"> </w:t>
      </w:r>
      <w:r>
        <w:t xml:space="preserve">= objective × measurement period (814,091). This level is kept in</w:t>
      </w:r>
      <w:r>
        <w:t xml:space="preserve"> </w:t>
      </w:r>
      <w:r>
        <w:rPr>
          <w:rStyle w:val="VerbatimChar"/>
        </w:rPr>
        <w:t xml:space="preserve">ESG_Goal_Record_Classification.dta</w:t>
      </w:r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KPI</w:t>
      </w:r>
      <w:r>
        <w:t xml:space="preserve"> </w:t>
      </w:r>
      <w:r>
        <w:t xml:space="preserve">=</w:t>
      </w:r>
      <w:r>
        <w:t xml:space="preserve"> </w:t>
      </w:r>
      <w:r>
        <w:rPr>
          <w:bCs/>
          <w:b/>
        </w:rPr>
        <w:t xml:space="preserve">(grantid, goal_source, text_id)</w:t>
      </w:r>
      <w:r>
        <w:t xml:space="preserve">, giving 654,123 KPIs.</w:t>
      </w:r>
    </w:p>
    <w:p>
      <w:pPr>
        <w:numPr>
          <w:ilvl w:val="1"/>
          <w:numId w:val="1013"/>
        </w:numPr>
        <w:pStyle w:val="Compact"/>
      </w:pPr>
      <w:r>
        <w:t xml:space="preserve">It collapses the measurement periods of the same objective (84,463 KPIs span more than one period).</w:t>
      </w:r>
    </w:p>
    <w:p>
      <w:pPr>
        <w:numPr>
          <w:ilvl w:val="1"/>
          <w:numId w:val="1013"/>
        </w:numPr>
        <w:pStyle w:val="Compact"/>
      </w:pPr>
      <w:r>
        <w:t xml:space="preserve">It collapses repeated objectives with identical text in the same grant, e.g. A1 = year-1 EPS and A2 = year-2 EPS (4,849 KPIs,</w:t>
      </w:r>
      <w:r>
        <w:t xml:space="preserve"> </w:t>
      </w:r>
      <w:r>
        <w:rPr>
          <w:rStyle w:val="VerbatimChar"/>
        </w:rPr>
        <w:t xml:space="preserve">kpi_duplicate_flag = 1</w:t>
      </w:r>
      <w:r>
        <w:t xml:space="preserve">).</w:t>
      </w:r>
    </w:p>
    <w:p>
      <w:pPr>
        <w:numPr>
          <w:ilvl w:val="1"/>
          <w:numId w:val="1013"/>
        </w:numPr>
        <w:pStyle w:val="Compact"/>
      </w:pPr>
      <w:r>
        <w:t xml:space="preserve">Absolute, relative and accelerated versions of a metric remain separate KPIs, because they are different contractual conditions.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No collapsing across grants or executives at KPI level.</w:t>
      </w:r>
      <w:r>
        <w:t xml:space="preserve"> </w:t>
      </w:r>
      <w:r>
        <w:t xml:space="preserve">Each executive's grant is a separate award.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Distinct-KPI shares at aggregate levels.</w:t>
      </w:r>
      <w:r>
        <w:t xml:space="preserve"> </w:t>
      </w:r>
      <w:r>
        <w:t xml:space="preserve">At executive, CEO and firm level, a distinct KPI is (goal_source, text_id)</w:t>
      </w:r>
      <w:r>
        <w:t xml:space="preserve"> </w:t>
      </w:r>
      <w:r>
        <w:rPr>
          <w:iCs/>
          <w:i/>
        </w:rPr>
        <w:t xml:space="preserve">within the unit</w:t>
      </w:r>
      <w:r>
        <w:t xml:space="preserve">. The same metric used in the plans of five NEOs therefore counts once in the firm-year KPI share.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Reconciliation.</w:t>
      </w:r>
      <w:r>
        <w:t xml:space="preserve"> </w:t>
      </w:r>
      <w:r>
        <w:t xml:space="preserve">Σ</w:t>
      </w:r>
      <w:r>
        <w:t xml:space="preserve"> </w:t>
      </w:r>
      <w:r>
        <w:rPr>
          <w:rStyle w:val="VerbatimChar"/>
        </w:rPr>
        <w:t xml:space="preserve">kpi_source_count</w:t>
      </w:r>
      <w:r>
        <w:t xml:space="preserve"> </w:t>
      </w:r>
      <w:r>
        <w:t xml:space="preserve">= 814,091 = number of goal records.</w:t>
      </w:r>
    </w:p>
    <w:bookmarkEnd w:id="26"/>
    <w:bookmarkStart w:id="27" w:name="Xe2d294940a83f4828398e63d9233656317bebcb"/>
    <w:p>
      <w:pPr>
        <w:pStyle w:val="Heading2"/>
      </w:pPr>
      <w:r>
        <w:t xml:space="preserve">5. Grant and executive matching methodology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No fuzzy matching.</w:t>
      </w:r>
      <w:r>
        <w:t xml:space="preserve"> </w:t>
      </w:r>
      <w:r>
        <w:t xml:space="preserve">Grants carry CIK, fiscal year, fiscal month and participantID directly, so no cross-year or name-based matching is used.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Executive-firm-year</w:t>
      </w:r>
      <w:r>
        <w:t xml:space="preserve"> </w:t>
      </w:r>
      <w:r>
        <w:t xml:space="preserve">= (CIK, FY, participantID). Identity is attached by an exact 4-field match to ParticipantFY.</w:t>
      </w:r>
      <w:r>
        <w:t xml:space="preserve"> </w:t>
      </w:r>
      <w:r>
        <w:rPr>
          <w:rStyle w:val="VerbatimChar"/>
        </w:rPr>
        <w:t xml:space="preserve">exec_identity_match_status</w:t>
      </w:r>
      <w:r>
        <w:t xml:space="preserve"> </w:t>
      </w:r>
      <w:r>
        <w:t xml:space="preserve">records matched_exact / partially_matched / unmatched.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Performance-based grant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performancetype</w:t>
      </w:r>
      <w:r>
        <w:t xml:space="preserve"> </w:t>
      </w:r>
      <w:r>
        <w:t xml:space="preserve">∈ {Abs, Rel, AbsRel}; time-based = Time.</w:t>
      </w:r>
    </w:p>
    <w:p>
      <w:pPr>
        <w:numPr>
          <w:ilvl w:val="1"/>
          <w:numId w:val="1015"/>
        </w:numPr>
        <w:pStyle w:val="Compact"/>
      </w:pPr>
      <w:r>
        <w:t xml:space="preserve">Hybrid absolute + relative awards are flagged (</w:t>
      </w:r>
      <w:r>
        <w:rPr>
          <w:rStyle w:val="VerbatimChar"/>
        </w:rPr>
        <w:t xml:space="preserve">grant_is_hybrid_absrel</w:t>
      </w:r>
      <w:r>
        <w:t xml:space="preserve">, 36,356 grants).</w:t>
      </w:r>
    </w:p>
    <w:p>
      <w:pPr>
        <w:numPr>
          <w:ilvl w:val="1"/>
          <w:numId w:val="1015"/>
        </w:numPr>
        <w:pStyle w:val="Compact"/>
      </w:pPr>
      <w:r>
        <w:t xml:space="preserve">Performance grants are split by payout medium.</w:t>
      </w:r>
      <w:r>
        <w:t xml:space="preserve"> </w:t>
      </w:r>
      <w:r>
        <w:rPr>
          <w:bCs/>
          <w:b/>
        </w:rPr>
        <w:t xml:space="preserve">PERF_CASH</w:t>
      </w:r>
      <w:r>
        <w:t xml:space="preserve"> </w:t>
      </w:r>
      <w:r>
        <w:t xml:space="preserve">= non-equity incentive plan awards (</w:t>
      </w:r>
      <w:r>
        <w:rPr>
          <w:rStyle w:val="VerbatimChar"/>
        </w:rPr>
        <w:t xml:space="preserve">paid_in_cash</w:t>
      </w:r>
      <w:r>
        <w:t xml:space="preserve">).</w:t>
      </w:r>
      <w:r>
        <w:t xml:space="preserve"> </w:t>
      </w:r>
      <w:r>
        <w:rPr>
          <w:bCs/>
          <w:b/>
        </w:rPr>
        <w:t xml:space="preserve">PERF_EQUITY</w:t>
      </w:r>
      <w:r>
        <w:t xml:space="preserve"> </w:t>
      </w:r>
      <w:r>
        <w:t xml:space="preserve">= performance shares, units and options. ESG conditions are far more common in cash bonus plans (§18).</w:t>
      </w:r>
    </w:p>
    <w:p>
      <w:pPr>
        <w:numPr>
          <w:ilvl w:val="1"/>
          <w:numId w:val="1015"/>
        </w:numPr>
        <w:pStyle w:val="Compact"/>
      </w:pPr>
      <w:r>
        <w:t xml:space="preserve">Time grants with acceleration conditions are flagged</w:t>
      </w:r>
      <w:r>
        <w:t xml:space="preserve"> </w:t>
      </w:r>
      <w:r>
        <w:rPr>
          <w:rStyle w:val="VerbatimChar"/>
        </w:rPr>
        <w:t xml:space="preserve">grant_time_with_acceleration</w:t>
      </w:r>
      <w:r>
        <w:t xml:space="preserve">. They are excluded from the performance-grant denominator, but their ACC KPIs still count as performance conditions for grant-level ESG linkage.</w:t>
      </w:r>
    </w:p>
    <w:p>
      <w:pPr>
        <w:numPr>
          <w:ilvl w:val="0"/>
          <w:numId w:val="1014"/>
        </w:numPr>
        <w:pStyle w:val="Compact"/>
      </w:pPr>
      <w:r>
        <w:rPr>
          <w:bCs/>
          <w:b/>
        </w:rPr>
        <w:t xml:space="preserve">Goal availability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grant_goal_status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perf_with_goals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grant with goal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233,384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time_no_perf_condition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grant (reliably no ESG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231,168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time_with_accel_goals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grant with acceleration goals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4,496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time_accel_declared_goals_missing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grant, acceleration declared, goals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perf_goals_missing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grant, goal data missing (missing data ≠ no condition)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type_missing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performance type missing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</w:t>
            </w:r>
          </w:p>
        </w:tc>
      </w:tr>
    </w:tbl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Incomplete goal data</w:t>
      </w:r>
      <w:r>
        <w:t xml:space="preserve"> </w:t>
      </w:r>
      <w:r>
        <w:t xml:space="preserve">(</w:t>
      </w:r>
      <w:r>
        <w:rPr>
          <w:rStyle w:val="VerbatimChar"/>
        </w:rPr>
        <w:t xml:space="preserve">grant_goal_data_incomplete</w:t>
      </w:r>
      <w:r>
        <w:t xml:space="preserve">, 335 grants). ISS declares more objectives (</w:t>
      </w:r>
      <w:r>
        <w:rPr>
          <w:rStyle w:val="VerbatimChar"/>
        </w:rPr>
        <w:t xml:space="preserve">num_absolute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num_relative</w:t>
      </w:r>
      <w:r>
        <w:t xml:space="preserve">) than are recorded in the goal files, by both rows and distinct objectives. Such a grant is never coded 0: without an ESG-positive recorded KPI its ESG status is Unknown, because the missing objectives could be ESG.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Grant value</w:t>
      </w:r>
      <w:r>
        <w:t xml:space="preserve"> </w:t>
      </w:r>
      <w:r>
        <w:t xml:space="preserve">(</w:t>
      </w:r>
      <w:r>
        <w:rPr>
          <w:rStyle w:val="VerbatimChar"/>
        </w:rPr>
        <w:t xml:space="preserve">grant_value_combined</w:t>
      </w:r>
      <w:r>
        <w:t xml:space="preserve">, used for value shares):</w:t>
      </w:r>
    </w:p>
    <w:p>
      <w:pPr>
        <w:numPr>
          <w:ilvl w:val="1"/>
          <w:numId w:val="1017"/>
        </w:numPr>
        <w:pStyle w:val="Compact"/>
      </w:pPr>
      <w:r>
        <w:t xml:space="preserve">grant-date fair value where reported;</w:t>
      </w:r>
    </w:p>
    <w:p>
      <w:pPr>
        <w:numPr>
          <w:ilvl w:val="1"/>
          <w:numId w:val="1017"/>
        </w:numPr>
        <w:pStyle w:val="Compact"/>
      </w:pPr>
      <w:r>
        <w:t xml:space="preserve">otherwise the non-equity target payout of cash awards, which ISS does not value at grant date.</w:t>
      </w:r>
    </w:p>
    <w:p>
      <w:pPr>
        <w:numPr>
          <w:ilvl w:val="1"/>
          <w:numId w:val="1017"/>
        </w:numPr>
        <w:pStyle w:val="Compact"/>
      </w:pPr>
      <w:r>
        <w:t xml:space="preserve">Source counts: grant date fair value 278,382; nonequity target payout 106,524; missing 84,523.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Date checks.</w:t>
      </w:r>
      <w:r>
        <w:t xml:space="preserve"> </w:t>
      </w:r>
      <w:r>
        <w:t xml:space="preserve">256 grant dates fall outside [FY−3, FY+2] (</w:t>
      </w:r>
      <w:r>
        <w:rPr>
          <w:rStyle w:val="VerbatimChar"/>
        </w:rPr>
        <w:t xml:space="preserve">grant_date_suspect</w:t>
      </w:r>
      <w:r>
        <w:t xml:space="preserve">), and 49 expiration dates precede the grant date (</w:t>
      </w:r>
      <w:r>
        <w:rPr>
          <w:rStyle w:val="VerbatimChar"/>
        </w:rPr>
        <w:t xml:space="preserve">grant_dates_inconsistent</w:t>
      </w:r>
      <w:r>
        <w:t xml:space="preserve">). Both come from the ISS source; they are flagged, not changed.</w:t>
      </w:r>
    </w:p>
    <w:bookmarkEnd w:id="27"/>
    <w:bookmarkStart w:id="28" w:name="Xd7df7a24996dfdb6469650cc175c488434561cb"/>
    <w:p>
      <w:pPr>
        <w:pStyle w:val="Heading2"/>
      </w:pPr>
      <w:r>
        <w:t xml:space="preserve">6. CEO identification methodology</w:t>
      </w:r>
    </w:p>
    <w:p>
      <w:pPr>
        <w:pStyle w:val="FirstParagraph"/>
      </w:pPr>
      <w:r>
        <w:t xml:space="preserve">CEO status is read from ParticipantFY</w:t>
      </w:r>
      <w:r>
        <w:t xml:space="preserve"> </w:t>
      </w:r>
      <w:r>
        <w:rPr>
          <w:rStyle w:val="VerbatimChar"/>
        </w:rPr>
        <w:t xml:space="preserve">currentCEO</w:t>
      </w:r>
      <w:r>
        <w:t xml:space="preserve"> </w:t>
      </w:r>
      <w:r>
        <w:t xml:space="preserve">(True/False). Role codes are the fallback: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CEO</w:t>
      </w:r>
      <w:r>
        <w:t xml:space="preserve">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UC</w:t>
      </w:r>
      <w:r>
        <w:t xml:space="preserve"> </w:t>
      </w:r>
      <w:r>
        <w:t xml:space="preserve">= segment CEO, never treated as company CEO;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FO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</w:t>
      </w:r>
      <w:r>
        <w:t xml:space="preserve"> </w:t>
      </w:r>
      <w:r>
        <w:t xml:space="preserve">= former / retired.</w:t>
      </w:r>
    </w:p>
    <w:p>
      <w:pPr>
        <w:pStyle w:val="FirstParagraph"/>
      </w:pPr>
      <w:r>
        <w:t xml:space="preserve">Status of each firm-year: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Treatment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unique_current_ceo_flag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32,231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CEO sample (</w:t>
            </w:r>
            <w:r>
              <w:rPr>
                <w:rStyle w:val="VerbatimChar"/>
              </w:rPr>
              <w:t xml:space="preserve">ceo_strict_sample = 1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no_ceo_identified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table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multiple_current_ceo_flags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candidates kept; none silently selected; in exception table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rolecode_fallback_unique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kept as an alternative (not strict)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rolecode_ambiguous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 table only</w:t>
            </w:r>
          </w:p>
        </w:tc>
      </w:tr>
    </w:tbl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Exception table.</w:t>
      </w:r>
      <w:r>
        <w:t xml:space="preserve"> </w:t>
      </w:r>
      <w:r>
        <w:rPr>
          <w:rStyle w:val="VerbatimChar"/>
        </w:rPr>
        <w:t xml:space="preserve">Data/Intermediate/audit_ceo_exceptions.csv</w:t>
      </w:r>
      <w:r>
        <w:t xml:space="preserve"> </w:t>
      </w:r>
      <w:r>
        <w:t xml:space="preserve">(1,960 rows, 1,035 firm-years). Firm-years with several</w:t>
      </w:r>
      <w:r>
        <w:t xml:space="preserve"> </w:t>
      </w:r>
      <w:r>
        <w:rPr>
          <w:rStyle w:val="VerbatimChar"/>
        </w:rPr>
        <w:t xml:space="preserve">currentCEO = 1</w:t>
      </w:r>
      <w:r>
        <w:t xml:space="preserve"> </w:t>
      </w:r>
      <w:r>
        <w:t xml:space="preserve">executives keep all candidates; none is silently selected.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Non-CEO executives</w:t>
      </w:r>
      <w:r>
        <w:t xml:space="preserve"> </w:t>
      </w:r>
      <w:r>
        <w:t xml:space="preserve">have</w:t>
      </w:r>
      <w:r>
        <w:t xml:space="preserve"> </w:t>
      </w:r>
      <w:r>
        <w:rPr>
          <w:rStyle w:val="VerbatimChar"/>
        </w:rPr>
        <w:t xml:space="preserve">currentCEO = 0</w:t>
      </w:r>
      <w:r>
        <w:t xml:space="preserve"> </w:t>
      </w:r>
      <w:r>
        <w:t xml:space="preserve">explicitly, belong to a firm-year whose CEO is identified, and are not a CEO candidate. There are 130,794 such executive-years.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Role unknown.</w:t>
      </w:r>
      <w:r>
        <w:t xml:space="preserve"> </w:t>
      </w:r>
      <w:r>
        <w:t xml:space="preserve">n/a executive-years have an unknown role, e.g. their firm-year has no identified CEO or their participant record is unmatched. They are excluded from non-CEO aggregates.</w:t>
      </w:r>
    </w:p>
    <w:p>
      <w:pPr>
        <w:numPr>
          <w:ilvl w:val="1"/>
          <w:numId w:val="1020"/>
        </w:numPr>
        <w:pStyle w:val="Compact"/>
      </w:pPr>
      <w:r>
        <w:t xml:space="preserve">1,043 of them sit in firm-years that also have identified non-CEO executives. They are counted there in</w:t>
      </w:r>
      <w:r>
        <w:t xml:space="preserve"> </w:t>
      </w:r>
      <w:r>
        <w:rPr>
          <w:rStyle w:val="VerbatimChar"/>
        </w:rPr>
        <w:t xml:space="preserve">nonceo_n_role_unknown_execs</w:t>
      </w:r>
      <w:r>
        <w:t xml:space="preserve">, with</w:t>
      </w:r>
      <w:r>
        <w:t xml:space="preserve"> </w:t>
      </w:r>
      <w:r>
        <w:rPr>
          <w:rStyle w:val="VerbatimChar"/>
        </w:rPr>
        <w:t xml:space="preserve">nonceo_role_uncertainty_flag = 1</w:t>
      </w:r>
      <w:r>
        <w:t xml:space="preserve">.</w:t>
      </w:r>
    </w:p>
    <w:p>
      <w:pPr>
        <w:numPr>
          <w:ilvl w:val="1"/>
          <w:numId w:val="1020"/>
        </w:numPr>
        <w:pStyle w:val="Compact"/>
      </w:pPr>
      <w:r>
        <w:t xml:space="preserve">The rest belong to firm-years without a non-CEO row.</w:t>
      </w:r>
    </w:p>
    <w:bookmarkEnd w:id="28"/>
    <w:bookmarkStart w:id="29" w:name="Xed42624c32a5b25c74631607dd71fab05bfe125"/>
    <w:p>
      <w:pPr>
        <w:pStyle w:val="Heading2"/>
      </w:pPr>
      <w:r>
        <w:t xml:space="preserve">7. Text normalization</w:t>
      </w:r>
    </w:p>
    <w:p>
      <w:pPr>
        <w:pStyle w:val="FirstParagraph"/>
      </w:pPr>
      <w:r>
        <w:t xml:space="preserve">Applied to</w:t>
      </w:r>
      <w:r>
        <w:t xml:space="preserve"> </w:t>
      </w:r>
      <w:r>
        <w:rPr>
          <w:rStyle w:val="VerbatimChar"/>
        </w:rPr>
        <w:t xml:space="preserve">metricOther</w:t>
      </w:r>
      <w:r>
        <w:t xml:space="preserve">:</w:t>
      </w:r>
    </w:p>
    <w:p>
      <w:pPr>
        <w:numPr>
          <w:ilvl w:val="0"/>
          <w:numId w:val="1021"/>
        </w:numPr>
        <w:pStyle w:val="Compact"/>
      </w:pPr>
      <w:r>
        <w:t xml:space="preserve">NFKC normalisation;</w:t>
      </w:r>
    </w:p>
    <w:p>
      <w:pPr>
        <w:numPr>
          <w:ilvl w:val="0"/>
          <w:numId w:val="1021"/>
        </w:numPr>
        <w:pStyle w:val="Compact"/>
      </w:pPr>
      <w:r>
        <w:t xml:space="preserve">typographic quotes and dashes, and the source mojibake</w:t>
      </w:r>
      <w:r>
        <w:t xml:space="preserve"> </w:t>
      </w:r>
      <w:r>
        <w:rPr>
          <w:rStyle w:val="VerbatimChar"/>
        </w:rPr>
        <w:t xml:space="preserve">‚Äô</w:t>
      </w:r>
      <w:r>
        <w:t xml:space="preserve">, are normalised;</w:t>
      </w:r>
    </w:p>
    <w:p>
      <w:pPr>
        <w:numPr>
          <w:ilvl w:val="0"/>
          <w:numId w:val="1021"/>
        </w:numPr>
        <w:pStyle w:val="Compact"/>
      </w:pPr>
      <w:r>
        <w:t xml:space="preserve">whitespace is collapsed;</w:t>
      </w:r>
    </w:p>
    <w:p>
      <w:pPr>
        <w:numPr>
          <w:ilvl w:val="0"/>
          <w:numId w:val="1021"/>
        </w:numPr>
        <w:pStyle w:val="Compact"/>
      </w:pPr>
      <w:r>
        <w:t xml:space="preserve">trailing punctuation is stripped;</w:t>
      </w:r>
    </w:p>
    <w:p>
      <w:pPr>
        <w:numPr>
          <w:ilvl w:val="0"/>
          <w:numId w:val="1021"/>
        </w:numPr>
        <w:pStyle w:val="Compact"/>
      </w:pPr>
      <w:r>
        <w:t xml:space="preserve">the result is lower-cased for the key.</w:t>
      </w:r>
    </w:p>
    <w:p>
      <w:pPr>
        <w:pStyle w:val="FirstParagraph"/>
      </w:pPr>
      <w:r>
        <w:rPr>
          <w:bCs/>
          <w:b/>
        </w:rPr>
        <w:t xml:space="preserve">Classification unit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metric || lower(metricOther)</w:t>
      </w:r>
      <w:r>
        <w:t xml:space="preserve">. The suffix</w:t>
      </w:r>
      <w:r>
        <w:t xml:space="preserve"> </w:t>
      </w:r>
      <w:r>
        <w:rPr>
          <w:rStyle w:val="VerbatimChar"/>
        </w:rPr>
        <w:t xml:space="preserve">|| ctx=</w:t>
      </w:r>
      <w:r>
        <w:t xml:space="preserve"> </w:t>
      </w:r>
      <w:r>
        <w:t xml:space="preserve">is added only when the text is blank (§11).</w:t>
      </w:r>
    </w:p>
    <w:p>
      <w:pPr>
        <w:numPr>
          <w:ilvl w:val="0"/>
          <w:numId w:val="1022"/>
        </w:numPr>
        <w:pStyle w:val="Compact"/>
      </w:pPr>
      <w:r>
        <w:t xml:space="preserve">There are 38,590 units. Identical text receives the identical label in every year.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text_id</w:t>
      </w:r>
      <w:r>
        <w:t xml:space="preserve"> </w:t>
      </w:r>
      <w:r>
        <w:t xml:space="preserve">= "T" + the first 10 hex digits of SHA-1(</w:t>
      </w:r>
      <w:r>
        <w:rPr>
          <w:rStyle w:val="VerbatimChar"/>
        </w:rPr>
        <w:t xml:space="preserve">text_key</w:t>
      </w:r>
      <w:r>
        <w:t xml:space="preserve">). It is therefore stable across versions and re-runs, so human labels can be joined safely.</w:t>
      </w:r>
    </w:p>
    <w:bookmarkEnd w:id="29"/>
    <w:bookmarkStart w:id="30" w:name="Xe9a58e2be4f1cd4d20f82fa3c3c2181cf0a54fb"/>
    <w:p>
      <w:pPr>
        <w:pStyle w:val="Heading2"/>
      </w:pPr>
      <w:r>
        <w:t xml:space="preserve">8. ESG construct definition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Cs/>
          <w:b/>
        </w:rPr>
        <w:t xml:space="preserve">ESG-linked performance condition</w:t>
      </w:r>
      <w:r>
        <w:t xml:space="preserve"> </w:t>
      </w:r>
      <w:r>
        <w:t xml:space="preserve">is a performance condition whose text explicitly references an environmental, social or governance objective. The construct concerns the condition itself, not whether the firm is ESG-oriented.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Strict ESG</w:t>
      </w:r>
      <w:r>
        <w:t xml:space="preserve">: clearly identifiable E, S or G content (§10).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Extended ESG</w:t>
      </w:r>
      <w:r>
        <w:t xml:space="preserve"> </w:t>
      </w:r>
      <w:r>
        <w:t xml:space="preserve">= Strict ESG plus explicitly stakeholder-oriented conditions:</w:t>
      </w:r>
    </w:p>
    <w:p>
      <w:pPr>
        <w:numPr>
          <w:ilvl w:val="1"/>
          <w:numId w:val="1024"/>
        </w:numPr>
        <w:pStyle w:val="Compact"/>
      </w:pPr>
      <w:r>
        <w:t xml:space="preserve">customers;</w:t>
      </w:r>
    </w:p>
    <w:p>
      <w:pPr>
        <w:numPr>
          <w:ilvl w:val="1"/>
          <w:numId w:val="1024"/>
        </w:numPr>
        <w:pStyle w:val="Compact"/>
      </w:pPr>
      <w:r>
        <w:t xml:space="preserve">product and patient safety and quality, and healthcare quality;</w:t>
      </w:r>
    </w:p>
    <w:p>
      <w:pPr>
        <w:numPr>
          <w:ilvl w:val="1"/>
          <w:numId w:val="1024"/>
        </w:numPr>
        <w:pStyle w:val="Compact"/>
      </w:pPr>
      <w:r>
        <w:t xml:space="preserve">privacy and fair treatment;</w:t>
      </w:r>
    </w:p>
    <w:p>
      <w:pPr>
        <w:numPr>
          <w:ilvl w:val="1"/>
          <w:numId w:val="1024"/>
        </w:numPr>
        <w:pStyle w:val="Compact"/>
      </w:pPr>
      <w:r>
        <w:t xml:space="preserve">customer-facing service reliability;</w:t>
      </w:r>
    </w:p>
    <w:p>
      <w:pPr>
        <w:numPr>
          <w:ilvl w:val="1"/>
          <w:numId w:val="1024"/>
        </w:numPr>
        <w:pStyle w:val="Compact"/>
      </w:pPr>
      <w:r>
        <w:t xml:space="preserve">community engagement.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Invariants.</w:t>
      </w:r>
      <w:r>
        <w:t xml:space="preserve"> </w:t>
      </w:r>
      <w:r>
        <w:t xml:space="preserve">Strict = 1 implies Extended = 1 (asserted in code).</w:t>
      </w:r>
      <w:r>
        <w:t xml:space="preserve"> </w:t>
      </w:r>
      <w:r>
        <w:rPr>
          <w:rStyle w:val="VerbatimChar"/>
        </w:rPr>
        <w:t xml:space="preserve">esg_extended_only</w:t>
      </w:r>
      <w:r>
        <w:t xml:space="preserve"> </w:t>
      </w:r>
      <w:r>
        <w:t xml:space="preserve">(1 / 0 / Unknown) identifies the additions.</w:t>
      </w:r>
    </w:p>
    <w:bookmarkEnd w:id="30"/>
    <w:bookmarkStart w:id="31" w:name="Xb103321a8651e4c3b6468cfd43f64b46472d9d2"/>
    <w:p>
      <w:pPr>
        <w:pStyle w:val="Heading2"/>
      </w:pPr>
      <w:r>
        <w:t xml:space="preserve">9. Strict and Extended classification methodology</w:t>
      </w:r>
    </w:p>
    <w:p>
      <w:pPr>
        <w:pStyle w:val="FirstParagraph"/>
      </w:pPr>
      <w:r>
        <w:rPr>
          <w:bCs/>
          <w:b/>
        </w:rPr>
        <w:t xml:space="preserve">Approach.</w:t>
      </w:r>
      <w:r>
        <w:t xml:space="preserve"> </w:t>
      </w:r>
      <w:r>
        <w:t xml:space="preserve">A deterministic, versioned rule engine (</w:t>
      </w:r>
      <w:r>
        <w:rPr>
          <w:rStyle w:val="VerbatimChar"/>
        </w:rPr>
        <w:t xml:space="preserve">Code/esg_rules.py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Code/classify.py</w:t>
      </w:r>
      <w:r>
        <w:t xml:space="preserve">) with</w:t>
      </w:r>
      <w:r>
        <w:t xml:space="preserve"> </w:t>
      </w:r>
      <w:r>
        <w:rPr>
          <w:bCs/>
          <w:b/>
        </w:rPr>
        <w:t xml:space="preserve">57 regex rules</w:t>
      </w:r>
      <w:r>
        <w:t xml:space="preserve">. The rules are exported with their rationale and their change in this version to</w:t>
      </w:r>
      <w:r>
        <w:t xml:space="preserve"> </w:t>
      </w:r>
      <w:r>
        <w:rPr>
          <w:rStyle w:val="VerbatimChar"/>
        </w:rPr>
        <w:t xml:space="preserve">Dictionaries/b_revised_rules_v1.1.csv</w:t>
      </w:r>
      <w:r>
        <w:t xml:space="preserve">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Rule kinds:</w:t>
      </w:r>
      <w:r>
        <w:t xml:space="preserve"> </w:t>
      </w:r>
      <w:r>
        <w:t xml:space="preserve">ESG 21, EXT 9, MASKN 8, MASK 5, ADJ 5, AMB 4, NONESG 2, EXT_AMB 1, NONSPEC 1, FILLER 1.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Order.</w:t>
      </w:r>
      <w:r>
        <w:t xml:space="preserve"> </w:t>
      </w:r>
      <w:r>
        <w:t xml:space="preserve">Rules run in priority order, and each match</w:t>
      </w:r>
      <w:r>
        <w:t xml:space="preserve"> </w:t>
      </w:r>
      <w:r>
        <w:rPr>
          <w:iCs/>
          <w:i/>
        </w:rPr>
        <w:t xml:space="preserve">consumes</w:t>
      </w:r>
      <w:r>
        <w:t xml:space="preserve"> </w:t>
      </w:r>
      <w:r>
        <w:t xml:space="preserve">its text span so that later rules cannot reuse it:</w:t>
      </w:r>
    </w:p>
    <w:p>
      <w:pPr>
        <w:numPr>
          <w:ilvl w:val="1"/>
          <w:numId w:val="1026"/>
        </w:numPr>
        <w:pStyle w:val="Compact"/>
      </w:pPr>
      <w:r>
        <w:t xml:space="preserve">protected phrases, e.g. "safe work environment";</w:t>
      </w:r>
    </w:p>
    <w:p>
      <w:pPr>
        <w:numPr>
          <w:ilvl w:val="1"/>
          <w:numId w:val="1026"/>
        </w:numPr>
        <w:pStyle w:val="Compact"/>
      </w:pPr>
      <w:r>
        <w:t xml:space="preserve">masks for false-positive phrases; some masks also count as non-ESG evidence, e.g. "safety and soundness" or "economic environment";</w:t>
      </w:r>
    </w:p>
    <w:p>
      <w:pPr>
        <w:numPr>
          <w:ilvl w:val="1"/>
          <w:numId w:val="1026"/>
        </w:numPr>
        <w:pStyle w:val="Compact"/>
      </w:pPr>
      <w:r>
        <w:t xml:space="preserve">routed specific phrases, e.g. "product safety" or "customer engagement" → Extended, before the generic rules;</w:t>
      </w:r>
    </w:p>
    <w:p>
      <w:pPr>
        <w:numPr>
          <w:ilvl w:val="1"/>
          <w:numId w:val="1026"/>
        </w:numPr>
        <w:pStyle w:val="Compact"/>
      </w:pPr>
      <w:r>
        <w:t xml:space="preserve">Strict ESG rules: multi-pillar ESG phrases first, then E, S and G;</w:t>
      </w:r>
    </w:p>
    <w:p>
      <w:pPr>
        <w:numPr>
          <w:ilvl w:val="1"/>
          <w:numId w:val="1026"/>
        </w:numPr>
        <w:pStyle w:val="Compact"/>
      </w:pPr>
      <w:r>
        <w:t xml:space="preserve">Extended (stakeholder) rules;</w:t>
      </w:r>
    </w:p>
    <w:p>
      <w:pPr>
        <w:numPr>
          <w:ilvl w:val="1"/>
          <w:numId w:val="1026"/>
        </w:numPr>
        <w:pStyle w:val="Compact"/>
      </w:pPr>
      <w:r>
        <w:t xml:space="preserve">ambiguous rules;</w:t>
      </w:r>
    </w:p>
    <w:p>
      <w:pPr>
        <w:numPr>
          <w:ilvl w:val="1"/>
          <w:numId w:val="1026"/>
        </w:numPr>
        <w:pStyle w:val="Compact"/>
      </w:pPr>
      <w:r>
        <w:t xml:space="preserve">ESG-adjacent exclusions;</w:t>
      </w:r>
    </w:p>
    <w:p>
      <w:pPr>
        <w:numPr>
          <w:ilvl w:val="1"/>
          <w:numId w:val="1026"/>
        </w:numPr>
        <w:pStyle w:val="Compact"/>
      </w:pPr>
      <w:r>
        <w:t xml:space="preserve">non-specific placeholders;</w:t>
      </w:r>
    </w:p>
    <w:p>
      <w:pPr>
        <w:numPr>
          <w:ilvl w:val="1"/>
          <w:numId w:val="1026"/>
        </w:numPr>
        <w:pStyle w:val="Compact"/>
      </w:pPr>
      <w:r>
        <w:t xml:space="preserve">non-ESG financial / operating evidence;</w:t>
      </w:r>
    </w:p>
    <w:p>
      <w:pPr>
        <w:numPr>
          <w:ilvl w:val="1"/>
          <w:numId w:val="1026"/>
        </w:numPr>
        <w:pStyle w:val="Compact"/>
      </w:pPr>
      <w:r>
        <w:t xml:space="preserve">filler words.</w:t>
      </w:r>
    </w:p>
    <w:p>
      <w:pPr>
        <w:pStyle w:val="FirstParagraph"/>
      </w:pPr>
      <w:r>
        <w:rPr>
          <w:bCs/>
          <w:b/>
        </w:rPr>
        <w:t xml:space="preserve">Decision.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Strict</w:t>
      </w:r>
      <w:r>
        <w:t xml:space="preserve"> </w:t>
      </w:r>
      <w:r>
        <w:t xml:space="preserve">= 1 if any Strict rule fires.</w:t>
      </w:r>
    </w:p>
    <w:p>
      <w:pPr>
        <w:numPr>
          <w:ilvl w:val="0"/>
          <w:numId w:val="1027"/>
        </w:numPr>
        <w:pStyle w:val="Compact"/>
      </w:pPr>
      <w:r>
        <w:t xml:space="preserve">Otherwise Strict = Unknown if an ambiguous or placeholder rule fires.</w:t>
      </w:r>
    </w:p>
    <w:p>
      <w:pPr>
        <w:numPr>
          <w:ilvl w:val="0"/>
          <w:numId w:val="1027"/>
        </w:numPr>
        <w:pStyle w:val="Compact"/>
      </w:pPr>
      <w:r>
        <w:t xml:space="preserve">Otherwise Strict = 0 if there is</w:t>
      </w:r>
      <w:r>
        <w:t xml:space="preserve"> </w:t>
      </w:r>
      <w:r>
        <w:rPr>
          <w:bCs/>
          <w:b/>
        </w:rPr>
        <w:t xml:space="preserve">positive</w:t>
      </w:r>
      <w:r>
        <w:t xml:space="preserve"> </w:t>
      </w:r>
      <w:r>
        <w:t xml:space="preserve">non-ESG, adjacent or stakeholder evidence.</w:t>
      </w:r>
    </w:p>
    <w:p>
      <w:pPr>
        <w:numPr>
          <w:ilvl w:val="0"/>
          <w:numId w:val="1027"/>
        </w:numPr>
        <w:pStyle w:val="Compact"/>
      </w:pPr>
      <w:r>
        <w:t xml:space="preserve">Otherwise Strict = Unknown. Failing to find an ESG keyword is never sufficient for 0.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Extended</w:t>
      </w:r>
      <w:r>
        <w:t xml:space="preserve"> </w:t>
      </w:r>
      <w:r>
        <w:t xml:space="preserve">= 1 if Strict = 1 or a stakeholder rule fires. It is Unknown if Strict is Unknown or an ambiguous stakeholder rule fires. Otherwise it is 0.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Pillars</w:t>
      </w:r>
      <w:r>
        <w:t xml:space="preserve"> </w:t>
      </w:r>
      <w:r>
        <w:t xml:space="preserve">(E/S/G) are defined for Strict = 1 texts:</w:t>
      </w:r>
    </w:p>
    <w:p>
      <w:pPr>
        <w:numPr>
          <w:ilvl w:val="1"/>
          <w:numId w:val="1028"/>
        </w:numPr>
        <w:pStyle w:val="Compact"/>
      </w:pPr>
      <w:r>
        <w:t xml:space="preserve">1 if a rule of that pillar fired;</w:t>
      </w:r>
    </w:p>
    <w:p>
      <w:pPr>
        <w:numPr>
          <w:ilvl w:val="1"/>
          <w:numId w:val="1028"/>
        </w:numPr>
        <w:pStyle w:val="Compact"/>
      </w:pPr>
      <w:r>
        <w:t xml:space="preserve">Unknown if a general ESG term (ESG, CSR, ESG ratings, bare "sustainability") fired, or if an ambiguous rule of that pillar fired, e.g. bare "governance" in "Safety and Governance" → G Unknown;</w:t>
      </w:r>
    </w:p>
    <w:p>
      <w:pPr>
        <w:numPr>
          <w:ilvl w:val="1"/>
          <w:numId w:val="1028"/>
        </w:numPr>
        <w:pStyle w:val="Compact"/>
      </w:pPr>
      <w:r>
        <w:t xml:space="preserve">otherwise 0.</w:t>
      </w:r>
    </w:p>
    <w:p>
      <w:pPr>
        <w:pStyle w:val="FirstParagraph"/>
      </w:pPr>
      <w:r>
        <w:rPr>
          <w:rStyle w:val="VerbatimChar"/>
          <w:bCs/>
          <w:b/>
        </w:rPr>
        <w:t xml:space="preserve">metric</w:t>
      </w:r>
      <w:r>
        <w:rPr>
          <w:bCs/>
          <w:b/>
        </w:rPr>
        <w:t xml:space="preserve"> </w:t>
      </w:r>
      <w:r>
        <w:rPr>
          <w:bCs/>
          <w:b/>
        </w:rPr>
        <w:t xml:space="preserve">×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metricOther</w:t>
      </w:r>
      <w:r>
        <w:rPr>
          <w:bCs/>
          <w:b/>
        </w:rPr>
        <w:t xml:space="preserve"> </w:t>
      </w:r>
      <w:r>
        <w:rPr>
          <w:bCs/>
          <w:b/>
        </w:rPr>
        <w:t xml:space="preserve">joint reading.</w:t>
      </w:r>
      <w:r>
        <w:t xml:space="preserve"> </w:t>
      </w:r>
      <w:r>
        <w:t xml:space="preserve">Before 2018,</w:t>
      </w:r>
      <w:r>
        <w:t xml:space="preserve"> </w:t>
      </w:r>
      <w:r>
        <w:rPr>
          <w:rStyle w:val="VerbatimChar"/>
        </w:rPr>
        <w:t xml:space="preserve">metricOther</w:t>
      </w:r>
      <w:r>
        <w:t xml:space="preserve"> </w:t>
      </w:r>
      <w:r>
        <w:t xml:space="preserve">often holds only a qualifier (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= Cashflow,</w:t>
      </w:r>
      <w:r>
        <w:t xml:space="preserve"> </w:t>
      </w:r>
      <w:r>
        <w:rPr>
          <w:rStyle w:val="VerbatimChar"/>
        </w:rPr>
        <w:t xml:space="preserve">metricOther</w:t>
      </w:r>
      <w:r>
        <w:t xml:space="preserve"> </w:t>
      </w:r>
      <w:r>
        <w:t xml:space="preserve">= Free). The two fields are therefore read together:</w:t>
      </w:r>
    </w:p>
    <w:p>
      <w:pPr>
        <w:numPr>
          <w:ilvl w:val="0"/>
          <w:numId w:val="1029"/>
        </w:numPr>
        <w:pStyle w:val="Compact"/>
      </w:pPr>
      <w:r>
        <w:t xml:space="preserve">Financial standardised labels (EPS, Sales, …; available 1998–2021) count as non-ESG evidence.</w:t>
      </w:r>
    </w:p>
    <w:p>
      <w:pPr>
        <w:numPr>
          <w:ilvl w:val="0"/>
          <w:numId w:val="1029"/>
        </w:numPr>
        <w:pStyle w:val="Compact"/>
      </w:pPr>
      <w:r>
        <w:t xml:space="preserve">"Customer Satisfaction" counts as Extended evidence.</w:t>
      </w:r>
    </w:p>
    <w:p>
      <w:pPr>
        <w:numPr>
          <w:ilvl w:val="0"/>
          <w:numId w:val="1029"/>
        </w:numPr>
        <w:pStyle w:val="Compact"/>
      </w:pPr>
      <w:r>
        <w:t xml:space="preserve">Placeholder labels (Other, Individual, Vague, Operational, Non-Financial, Business Unit, Discretionary) carry no evidence.</w:t>
      </w:r>
    </w:p>
    <w:p>
      <w:pPr>
        <w:numPr>
          <w:ilvl w:val="0"/>
          <w:numId w:val="1029"/>
        </w:numPr>
        <w:pStyle w:val="Compact"/>
      </w:pPr>
      <w:r>
        <w:t xml:space="preserve">A financial label followed by a qualifier of at most two words (e.g. Cashflow + "Discretionary") is read as the financial metric.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2018-taxonomy ESG labels and ISS ESG metricTypes are never used.</w:t>
      </w:r>
    </w:p>
    <w:p>
      <w:pPr>
        <w:pStyle w:val="FirstParagraph"/>
      </w:pPr>
      <w:r>
        <w:rPr>
          <w:bCs/>
          <w:b/>
        </w:rPr>
        <w:t xml:space="preserve">Starting point: AGHJ (2025).</w:t>
      </w:r>
      <w:r>
        <w:t xml:space="preserve"> </w:t>
      </w:r>
      <w:r>
        <w:t xml:space="preserve">The 953 terms are reproduced verbatim, with page numbers, in</w:t>
      </w:r>
      <w:r>
        <w:t xml:space="preserve"> </w:t>
      </w:r>
      <w:r>
        <w:rPr>
          <w:rStyle w:val="VerbatimChar"/>
        </w:rPr>
        <w:t xml:space="preserve">a_paper_dictionary_AGHJ2025_953.csv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Removed terms.</w:t>
      </w:r>
      <w:r>
        <w:t xml:space="preserve"> </w:t>
      </w:r>
      <w:r>
        <w:t xml:space="preserve">Only 3 of the 81 removed terms are disclosed in A.4 (complaint, cyber, trust). The other 78 are</w:t>
      </w:r>
      <w:r>
        <w:t xml:space="preserve"> </w:t>
      </w:r>
      <w:r>
        <w:rPr>
          <w:bCs/>
          <w:b/>
        </w:rPr>
        <w:t xml:space="preserve">not reconstructed</w:t>
      </w:r>
      <w:r>
        <w:t xml:space="preserve">.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Review.</w:t>
      </w:r>
      <w:r>
        <w:t xml:space="preserve"> </w:t>
      </w:r>
      <w:r>
        <w:t xml:space="preserve">Every one of the 953 terms was reviewed against the 1998–2021 texts (</w:t>
      </w:r>
      <w:r>
        <w:rPr>
          <w:rStyle w:val="VerbatimChar"/>
        </w:rPr>
        <w:t xml:space="preserve">b_paper_keyword_review_v1.1.csv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occurrence 1998 2021; not carried forward or untested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retained 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occurrence 1998 2021; covered by v1 rule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required keyword alone insufficient; mostly non esg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required keyword alone insufficient; mostly strict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context required keyword alone insufficient; mixed in context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 esg adjacent by definition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retained strict with context exclusions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reassigned extended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excluded generic or false 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</w:tbl>
    <w:p>
      <w:pPr>
        <w:pStyle w:val="BodyText"/>
      </w:pPr>
      <w:r>
        <w:rPr>
          <w:bCs/>
          <w:b/>
        </w:rPr>
        <w:t xml:space="preserve">New expressions.</w:t>
      </w:r>
      <w:r>
        <w:t xml:space="preserve"> </w:t>
      </w:r>
      <w:r>
        <w:t xml:space="preserve">46 expressions not matched by any AGHJ term are listed, with their unit and row counts, in</w:t>
      </w:r>
      <w:r>
        <w:t xml:space="preserve"> </w:t>
      </w:r>
      <w:r>
        <w:rPr>
          <w:rStyle w:val="VerbatimChar"/>
        </w:rPr>
        <w:t xml:space="preserve">b_new_expressions_v1.1.csv</w:t>
      </w:r>
      <w:r>
        <w:t xml:space="preserve">. The decision log is</w:t>
      </w:r>
      <w:r>
        <w:t xml:space="preserve"> </w:t>
      </w:r>
      <w:r>
        <w:rPr>
          <w:rStyle w:val="VerbatimChar"/>
        </w:rPr>
        <w:t xml:space="preserve">Dictionaries/c_change_log.csv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No trend calibration.</w:t>
      </w:r>
    </w:p>
    <w:p>
      <w:pPr>
        <w:numPr>
          <w:ilvl w:val="0"/>
          <w:numId w:val="1031"/>
        </w:numPr>
        <w:pStyle w:val="Compact"/>
      </w:pPr>
      <w:r>
        <w:t xml:space="preserve">No rule references years, ISS categories or trend targets.</w:t>
      </w:r>
    </w:p>
    <w:p>
      <w:pPr>
        <w:numPr>
          <w:ilvl w:val="0"/>
          <w:numId w:val="1031"/>
        </w:numPr>
        <w:pStyle w:val="Compact"/>
      </w:pPr>
      <w:r>
        <w:t xml:space="preserve">Rule development used frequency-ranked and random reviews of all years jointly.</w:t>
      </w:r>
    </w:p>
    <w:p>
      <w:pPr>
        <w:numPr>
          <w:ilvl w:val="0"/>
          <w:numId w:val="1031"/>
        </w:numPr>
        <w:pStyle w:val="Compact"/>
      </w:pPr>
      <w:r>
        <w:t xml:space="preserve">The v1.1 review checked every unit whose label changed relative to v1.0 (</w:t>
      </w:r>
      <w:r>
        <w:rPr>
          <w:rStyle w:val="VerbatimChar"/>
        </w:rPr>
        <w:t xml:space="preserve">Validation/version_changed_units_*_local.csv</w:t>
      </w:r>
      <w:r>
        <w:t xml:space="preserve">).</w:t>
      </w:r>
    </w:p>
    <w:bookmarkEnd w:id="31"/>
    <w:bookmarkStart w:id="32" w:name="Xfd2ef194cc9ccc0aa26830457c422011dff16c4"/>
    <w:p>
      <w:pPr>
        <w:pStyle w:val="Heading2"/>
      </w:pPr>
      <w:r>
        <w:t xml:space="preserve">10. E, S and G coding rules (summary; exact regex in</w:t>
      </w:r>
      <w:r>
        <w:t xml:space="preserve"> </w:t>
      </w:r>
      <w:r>
        <w:rPr>
          <w:rStyle w:val="VerbatimChar"/>
        </w:rPr>
        <w:t xml:space="preserve">b_revised_rules_v1.1.csv</w:t>
      </w:r>
      <w:r>
        <w:t xml:space="preserve">)</w:t>
      </w:r>
    </w:p>
    <w:p>
      <w:pPr>
        <w:pStyle w:val="FirstParagraph"/>
      </w:pPr>
      <w:r>
        <w:rPr>
          <w:bCs/>
          <w:b/>
        </w:rPr>
        <w:t xml:space="preserve">Environmental (E):</w:t>
      </w:r>
    </w:p>
    <w:p>
      <w:pPr>
        <w:numPr>
          <w:ilvl w:val="0"/>
          <w:numId w:val="1032"/>
        </w:numPr>
        <w:pStyle w:val="Compact"/>
      </w:pPr>
      <w:r>
        <w:t xml:space="preserve">GHG, carbon, CO2, methane, SF6, NOx, SO2, flaring, LDAR, scope 1–3, net zero, scrubbers, science-based targets</w:t>
      </w:r>
    </w:p>
    <w:p>
      <w:pPr>
        <w:numPr>
          <w:ilvl w:val="0"/>
          <w:numId w:val="1032"/>
        </w:numPr>
        <w:pStyle w:val="Compact"/>
      </w:pPr>
      <w:r>
        <w:t xml:space="preserve">Climate change, action, risk or policy; TCFD</w:t>
      </w:r>
    </w:p>
    <w:p>
      <w:pPr>
        <w:numPr>
          <w:ilvl w:val="0"/>
          <w:numId w:val="1032"/>
        </w:numPr>
        <w:pStyle w:val="Compact"/>
      </w:pPr>
      <w:r>
        <w:t xml:space="preserve">Renewable energy</w:t>
      </w:r>
      <w:r>
        <w:t xml:space="preserve"> </w:t>
      </w:r>
      <w:r>
        <w:rPr>
          <w:iCs/>
          <w:i/>
        </w:rPr>
        <w:t xml:space="preserve">adoption</w:t>
      </w:r>
      <w:r>
        <w:t xml:space="preserve">, carbon-free capacity share, electrification, energy-use/intensity reduction</w:t>
      </w:r>
    </w:p>
    <w:p>
      <w:pPr>
        <w:numPr>
          <w:ilvl w:val="0"/>
          <w:numId w:val="1032"/>
        </w:numPr>
        <w:pStyle w:val="Compact"/>
      </w:pPr>
      <w:r>
        <w:t xml:space="preserve">Water use and quality, wastewater</w:t>
      </w:r>
    </w:p>
    <w:p>
      <w:pPr>
        <w:numPr>
          <w:ilvl w:val="0"/>
          <w:numId w:val="1032"/>
        </w:numPr>
        <w:pStyle w:val="Compact"/>
      </w:pPr>
      <w:r>
        <w:t xml:space="preserve">Waste, recycling, plastics, landfill, coal ash</w:t>
      </w:r>
    </w:p>
    <w:p>
      <w:pPr>
        <w:numPr>
          <w:ilvl w:val="0"/>
          <w:numId w:val="1032"/>
        </w:numPr>
        <w:pStyle w:val="Compact"/>
      </w:pPr>
      <w:r>
        <w:t xml:space="preserve">Spills and environmental releases</w:t>
      </w:r>
    </w:p>
    <w:p>
      <w:pPr>
        <w:numPr>
          <w:ilvl w:val="0"/>
          <w:numId w:val="1032"/>
        </w:numPr>
        <w:pStyle w:val="Compact"/>
      </w:pPr>
      <w:r>
        <w:t xml:space="preserve">The word "environmental" (business senses of "environment" are masked); biodiversity, reclamation, pollution</w:t>
      </w:r>
    </w:p>
    <w:p>
      <w:pPr>
        <w:pStyle w:val="FirstParagraph"/>
      </w:pPr>
      <w:r>
        <w:rPr>
          <w:bCs/>
          <w:b/>
        </w:rPr>
        <w:t xml:space="preserve">Social (S):</w:t>
      </w:r>
    </w:p>
    <w:p>
      <w:pPr>
        <w:numPr>
          <w:ilvl w:val="0"/>
          <w:numId w:val="1033"/>
        </w:numPr>
        <w:pStyle w:val="Compact"/>
      </w:pPr>
      <w:r>
        <w:t xml:space="preserve">Occupational, process and public safety: safety, TRIR, DART, OSHA, lost time, fatalities, SIF, vehicle accidents, near misses, HSE/EHS/EH&amp;S, process safety, loss of containment, worker radiation exposure, gas leaks/damage prevention, wildfire mitigation, NRC findings, workers' compensation claims</w:t>
      </w:r>
    </w:p>
    <w:p>
      <w:pPr>
        <w:numPr>
          <w:ilvl w:val="0"/>
          <w:numId w:val="1033"/>
        </w:numPr>
        <w:pStyle w:val="Compact"/>
      </w:pPr>
      <w:r>
        <w:t xml:space="preserve">DEI, including supplier diversity and health equity</w:t>
      </w:r>
    </w:p>
    <w:p>
      <w:pPr>
        <w:numPr>
          <w:ilvl w:val="0"/>
          <w:numId w:val="1033"/>
        </w:numPr>
        <w:pStyle w:val="Compact"/>
      </w:pPr>
      <w:r>
        <w:t xml:space="preserve">Specific human capital: engagement/satisfaction surveys, voluntary or employee turnover, retention of talent, training programmes, wellbeing, mental health, work environment, human capital</w:t>
      </w:r>
    </w:p>
    <w:p>
      <w:pPr>
        <w:numPr>
          <w:ilvl w:val="0"/>
          <w:numId w:val="1033"/>
        </w:numPr>
        <w:pStyle w:val="Compact"/>
      </w:pPr>
      <w:r>
        <w:t xml:space="preserve">Community investment, volunteering, philanthropy</w:t>
      </w:r>
    </w:p>
    <w:p>
      <w:pPr>
        <w:numPr>
          <w:ilvl w:val="0"/>
          <w:numId w:val="1033"/>
        </w:numPr>
        <w:pStyle w:val="Compact"/>
      </w:pPr>
      <w:r>
        <w:t xml:space="preserve">Defined social-access goals: affordable-housing goals, duty to serve, financial inclusion, Community Reinvestment Act</w:t>
      </w:r>
    </w:p>
    <w:p>
      <w:pPr>
        <w:numPr>
          <w:ilvl w:val="0"/>
          <w:numId w:val="1033"/>
        </w:numPr>
        <w:pStyle w:val="Compact"/>
      </w:pPr>
      <w:r>
        <w:t xml:space="preserve">Human rights, labour standards, animal welfare</w:t>
      </w:r>
    </w:p>
    <w:p>
      <w:pPr>
        <w:pStyle w:val="FirstParagraph"/>
      </w:pPr>
      <w:r>
        <w:rPr>
          <w:bCs/>
          <w:b/>
        </w:rPr>
        <w:t xml:space="preserve">Governance (G):</w:t>
      </w:r>
      <w:r>
        <w:t xml:space="preserve"> </w:t>
      </w:r>
      <w:r>
        <w:t xml:space="preserve">specific content only:</w:t>
      </w:r>
    </w:p>
    <w:p>
      <w:pPr>
        <w:numPr>
          <w:ilvl w:val="0"/>
          <w:numId w:val="1034"/>
        </w:numPr>
        <w:pStyle w:val="Compact"/>
      </w:pPr>
      <w:r>
        <w:t xml:space="preserve">ethics, code of conduct, anti-corruption/bribery, FCPA, whistle-blowing;</w:t>
      </w:r>
    </w:p>
    <w:p>
      <w:pPr>
        <w:numPr>
          <w:ilvl w:val="0"/>
          <w:numId w:val="1034"/>
        </w:numPr>
        <w:pStyle w:val="Compact"/>
      </w:pPr>
      <w:r>
        <w:t xml:space="preserve">corporate governance, board composition/diversity/evaluation, shareholder rights, say-on-pay, governance ratings.</w:t>
      </w:r>
    </w:p>
    <w:p>
      <w:pPr>
        <w:pStyle w:val="FirstParagraph"/>
      </w:pPr>
      <w:r>
        <w:t xml:space="preserve">Bare "governance" is ambiguous and therefore Unknown, because portfolio, project and data governance also exist.</w:t>
      </w:r>
    </w:p>
    <w:p>
      <w:pPr>
        <w:pStyle w:val="BodyText"/>
      </w:pPr>
      <w:r>
        <w:rPr>
          <w:bCs/>
          <w:b/>
        </w:rPr>
        <w:t xml:space="preserve">General (multi-pillar):</w:t>
      </w:r>
    </w:p>
    <w:p>
      <w:pPr>
        <w:numPr>
          <w:ilvl w:val="0"/>
          <w:numId w:val="1035"/>
        </w:numPr>
        <w:pStyle w:val="Compact"/>
      </w:pPr>
      <w:r>
        <w:t xml:space="preserve">ESG, CSR, corporate citizenship and ESG ratings (DJSI, GRESB, Sustainalytics, CDP, GRI): Strict = 1, with E/S/G</w:t>
      </w:r>
      <w:r>
        <w:t xml:space="preserve"> </w:t>
      </w:r>
      <w:r>
        <w:rPr>
          <w:bCs/>
          <w:b/>
        </w:rPr>
        <w:t xml:space="preserve">Unknown</w:t>
      </w:r>
      <w:r>
        <w:t xml:space="preserve"> </w:t>
      </w:r>
      <w:r>
        <w:t xml:space="preserve">unless a pillar term co-occurs.</w:t>
      </w:r>
    </w:p>
    <w:p>
      <w:pPr>
        <w:numPr>
          <w:ilvl w:val="0"/>
          <w:numId w:val="1035"/>
        </w:numPr>
        <w:pStyle w:val="Compact"/>
      </w:pPr>
      <w:r>
        <w:t xml:space="preserve">"Sustainability" is treated as a qualifier when it accompanies a pillar term, e.g. "Environmental Sustainability" → E only.</w:t>
      </w:r>
    </w:p>
    <w:bookmarkEnd w:id="32"/>
    <w:bookmarkStart w:id="33" w:name="Xb975ebbf126adb6c1d608e3fe3803a414d490b7"/>
    <w:p>
      <w:pPr>
        <w:pStyle w:val="Heading2"/>
      </w:pPr>
      <w:r>
        <w:t xml:space="preserve">11. Treatment of ambiguous and generic metrics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Placeholders</w:t>
      </w:r>
      <w:r>
        <w:t xml:space="preserve"> </w:t>
      </w:r>
      <w:r>
        <w:t xml:space="preserve">→ Unknown: Individual Performance, Strategic Objectives, Corporate Goals, Discretionary, Non-Financial, Other, Leadership, Operational Goals, Scorecard. They remain Unknown even when a financial term co-occurs, e.g. "EPS and Individual Performance".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Ambiguous</w:t>
      </w:r>
      <w:r>
        <w:t xml:space="preserve"> </w:t>
      </w:r>
      <w:r>
        <w:t xml:space="preserve">terms → Strict Unknown:</w:t>
      </w:r>
    </w:p>
    <w:p>
      <w:pPr>
        <w:numPr>
          <w:ilvl w:val="1"/>
          <w:numId w:val="1037"/>
        </w:numPr>
        <w:pStyle w:val="Compact"/>
      </w:pPr>
      <w:r>
        <w:t xml:space="preserve">energy efficiency / DSM (an environmental vs an operating-cost objective);</w:t>
      </w:r>
    </w:p>
    <w:p>
      <w:pPr>
        <w:numPr>
          <w:ilvl w:val="1"/>
          <w:numId w:val="1037"/>
        </w:numPr>
        <w:pStyle w:val="Compact"/>
      </w:pPr>
      <w:r>
        <w:t xml:space="preserve">bare "water", "waste", "green", "clean", "renewables";</w:t>
      </w:r>
    </w:p>
    <w:p>
      <w:pPr>
        <w:numPr>
          <w:ilvl w:val="1"/>
          <w:numId w:val="1037"/>
        </w:numPr>
        <w:pStyle w:val="Compact"/>
      </w:pPr>
      <w:r>
        <w:t xml:space="preserve">notices of violation without environmental context;</w:t>
      </w:r>
    </w:p>
    <w:p>
      <w:pPr>
        <w:numPr>
          <w:ilvl w:val="1"/>
          <w:numId w:val="1037"/>
        </w:numPr>
        <w:pStyle w:val="Compact"/>
      </w:pPr>
      <w:r>
        <w:t xml:space="preserve">bare "integrity", "social", "turnover", "attrition", "governance".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ESG-adjacent but excluded by definition</w:t>
      </w:r>
      <w:r>
        <w:t xml:space="preserve"> </w:t>
      </w:r>
      <w:r>
        <w:t xml:space="preserve">(Strict 0, Extended 0, flagged in</w:t>
      </w:r>
      <w:r>
        <w:t xml:space="preserve"> </w:t>
      </w:r>
      <w:r>
        <w:rPr>
          <w:rStyle w:val="VerbatimChar"/>
        </w:rPr>
        <w:t xml:space="preserve">adjacent_flags</w:t>
      </w:r>
      <w:r>
        <w:t xml:space="preserve">):</w:t>
      </w:r>
    </w:p>
    <w:p>
      <w:pPr>
        <w:numPr>
          <w:ilvl w:val="1"/>
          <w:numId w:val="1038"/>
        </w:numPr>
        <w:pStyle w:val="Compact"/>
      </w:pPr>
      <w:r>
        <w:t xml:space="preserve">generic compliance, regulatory exams, risk management, internal controls, SOX, audit, cybersecurity, AML/BSA;</w:t>
      </w:r>
    </w:p>
    <w:p>
      <w:pPr>
        <w:numPr>
          <w:ilvl w:val="1"/>
          <w:numId w:val="1038"/>
        </w:numPr>
        <w:pStyle w:val="Compact"/>
      </w:pPr>
      <w:r>
        <w:t xml:space="preserve">generic talent, succession, leadership development, culture, HR, hiring, teamwork, collective bargaining;</w:t>
      </w:r>
    </w:p>
    <w:p>
      <w:pPr>
        <w:numPr>
          <w:ilvl w:val="1"/>
          <w:numId w:val="1038"/>
        </w:numPr>
        <w:pStyle w:val="Compact"/>
      </w:pPr>
      <w:r>
        <w:t xml:space="preserve">government relations / public affairs;</w:t>
      </w:r>
    </w:p>
    <w:p>
      <w:pPr>
        <w:numPr>
          <w:ilvl w:val="1"/>
          <w:numId w:val="1038"/>
        </w:numPr>
        <w:pStyle w:val="Compact"/>
      </w:pPr>
      <w:r>
        <w:t xml:space="preserve">ESG business lines (ESG fund sales or assets);</w:t>
      </w:r>
    </w:p>
    <w:p>
      <w:pPr>
        <w:numPr>
          <w:ilvl w:val="1"/>
          <w:numId w:val="1038"/>
        </w:numPr>
        <w:pStyle w:val="Compact"/>
      </w:pPr>
      <w:r>
        <w:t xml:space="preserve">renewable-energy business-line execution (wind/solar projects, renewable portfolio growth).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Blank text</w:t>
      </w:r>
      <w:r>
        <w:t xml:space="preserve"> </w:t>
      </w:r>
      <w:r>
        <w:t xml:space="preserve">(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metricOther</w:t>
      </w:r>
      <w:r>
        <w:t xml:space="preserve"> </w:t>
      </w:r>
      <w:r>
        <w:t xml:space="preserve">both blank or placeholder):</w:t>
      </w:r>
    </w:p>
    <w:p>
      <w:pPr>
        <w:numPr>
          <w:ilvl w:val="1"/>
          <w:numId w:val="1039"/>
        </w:numPr>
        <w:pStyle w:val="Compact"/>
      </w:pPr>
      <w:r>
        <w:t xml:space="preserve">60,986 goal rows are overwhelmingly pre-2018 relative TSR / stock-price goals. Their</w:t>
      </w:r>
      <w:r>
        <w:t xml:space="preserve"> </w:t>
      </w:r>
      <w:r>
        <w:rPr>
          <w:iCs/>
          <w:i/>
        </w:rPr>
        <w:t xml:space="preserve">time-consistent</w:t>
      </w:r>
      <w:r>
        <w:t xml:space="preserve"> </w:t>
      </w:r>
      <w:r>
        <w:t xml:space="preserve">financial metricType (Accounting; Stock Price = Market-related) is admitted as</w:t>
      </w:r>
      <w:r>
        <w:t xml:space="preserve"> </w:t>
      </w:r>
      <w:r>
        <w:rPr>
          <w:bCs/>
          <w:b/>
        </w:rPr>
        <w:t xml:space="preserve">structured context</w:t>
      </w:r>
      <w:r>
        <w:t xml:space="preserve"> </w:t>
      </w:r>
      <w:r>
        <w:t xml:space="preserve">→ 0, with</w:t>
      </w:r>
      <w:r>
        <w:t xml:space="preserve"> </w:t>
      </w:r>
      <w:r>
        <w:rPr>
          <w:rStyle w:val="VerbatimChar"/>
        </w:rPr>
        <w:t xml:space="preserve">classification_method = structured_context</w:t>
      </w:r>
      <w:r>
        <w:t xml:space="preserve"> </w:t>
      </w:r>
      <w:r>
        <w:t xml:space="preserve">and medium confidence. The text-only label is kept separately as Unknown (</w:t>
      </w:r>
      <w:r>
        <w:rPr>
          <w:rStyle w:val="VerbatimChar"/>
        </w:rPr>
        <w:t xml:space="preserve">esg_strict_textonly</w:t>
      </w:r>
      <w:r>
        <w:t xml:space="preserve">).</w:t>
      </w:r>
    </w:p>
    <w:p>
      <w:pPr>
        <w:numPr>
          <w:ilvl w:val="1"/>
          <w:numId w:val="1039"/>
        </w:numPr>
        <w:pStyle w:val="Compact"/>
      </w:pPr>
      <w:r>
        <w:t xml:space="preserve">Other blank units → Unknown (</w:t>
      </w:r>
      <w:r>
        <w:rPr>
          <w:rStyle w:val="VerbatimChar"/>
        </w:rPr>
        <w:t xml:space="preserve">no_text</w:t>
      </w:r>
      <w:r>
        <w:t xml:space="preserve">).</w:t>
      </w:r>
    </w:p>
    <w:p>
      <w:pPr>
        <w:numPr>
          <w:ilvl w:val="1"/>
          <w:numId w:val="1039"/>
        </w:numPr>
        <w:pStyle w:val="Compact"/>
      </w:pPr>
      <w:r>
        <w:t xml:space="preserve">Blank units with a 2018 ESG label → Unknown (</w:t>
      </w:r>
      <w:r>
        <w:rPr>
          <w:rStyle w:val="VerbatimChar"/>
        </w:rPr>
        <w:t xml:space="preserve">iss_esg_label_only</w:t>
      </w:r>
      <w:r>
        <w:t xml:space="preserve">).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Mixed texts</w:t>
      </w:r>
      <w:r>
        <w:t xml:space="preserve"> </w:t>
      </w:r>
      <w:r>
        <w:t xml:space="preserve">("EPS and Safety") → Strict = 1, flagged</w:t>
      </w:r>
      <w:r>
        <w:t xml:space="preserve"> </w:t>
      </w:r>
      <w:r>
        <w:rPr>
          <w:rStyle w:val="VerbatimChar"/>
        </w:rPr>
        <w:t xml:space="preserve">mixed_esg_and_financial_text</w:t>
      </w:r>
      <w:r>
        <w:t xml:space="preserve">. 4 units with an ESG term under a financial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label are flagged</w:t>
      </w:r>
      <w:r>
        <w:t xml:space="preserve"> </w:t>
      </w:r>
      <w:r>
        <w:rPr>
          <w:rStyle w:val="VerbatimChar"/>
        </w:rPr>
        <w:t xml:space="preserve">esg_term_under_financial_label</w:t>
      </w:r>
      <w:r>
        <w:t xml:space="preserve"> </w:t>
      </w:r>
      <w:r>
        <w:t xml:space="preserve">for review.</w:t>
      </w:r>
    </w:p>
    <w:bookmarkEnd w:id="33"/>
    <w:bookmarkStart w:id="34" w:name="Xfd1bea545faa783eef51fb462b9732a433434cf"/>
    <w:p>
      <w:pPr>
        <w:pStyle w:val="Heading2"/>
      </w:pPr>
      <w:r>
        <w:t xml:space="preserve">12. Classification verification results</w:t>
      </w:r>
    </w:p>
    <w:p>
      <w:pPr>
        <w:pStyle w:val="FirstParagraph"/>
      </w:pPr>
      <w:r>
        <w:rPr>
          <w:bCs/>
          <w:b/>
        </w:rPr>
        <w:t xml:space="preserve">Development (completed).</w:t>
      </w:r>
      <w:r>
        <w:t xml:space="preserve"> </w:t>
      </w:r>
      <w:r>
        <w:t xml:space="preserve">Rules were developed on all years jointly by:</w:t>
      </w:r>
    </w:p>
    <w:p>
      <w:pPr>
        <w:numPr>
          <w:ilvl w:val="0"/>
          <w:numId w:val="1040"/>
        </w:numPr>
        <w:pStyle w:val="Compact"/>
      </w:pPr>
      <w:r>
        <w:t xml:space="preserve">reviewing the AGHJ keywords that occur in the data, with their most frequent and their non-ISS matches;</w:t>
      </w:r>
    </w:p>
    <w:p>
      <w:pPr>
        <w:numPr>
          <w:ilvl w:val="0"/>
          <w:numId w:val="1040"/>
        </w:numPr>
        <w:pStyle w:val="Compact"/>
      </w:pPr>
      <w:r>
        <w:t xml:space="preserve">reviewing the top Unknown, Strict = 1, Extended-only and ambiguous units by frequency;</w:t>
      </w:r>
    </w:p>
    <w:p>
      <w:pPr>
        <w:numPr>
          <w:ilvl w:val="0"/>
          <w:numId w:val="1040"/>
        </w:numPr>
        <w:pStyle w:val="Compact"/>
      </w:pPr>
      <w:r>
        <w:t xml:space="preserve">reviewing random samples of low-frequency Strict = 1 units and of Strict = 0 units;</w:t>
      </w:r>
    </w:p>
    <w:p>
      <w:pPr>
        <w:numPr>
          <w:ilvl w:val="0"/>
          <w:numId w:val="1040"/>
        </w:numPr>
        <w:pStyle w:val="Compact"/>
      </w:pPr>
      <w:r>
        <w:t xml:space="preserve">reviewing all paper-versus-revised disagreements;</w:t>
      </w:r>
    </w:p>
    <w:p>
      <w:pPr>
        <w:numPr>
          <w:ilvl w:val="0"/>
          <w:numId w:val="1040"/>
        </w:numPr>
        <w:pStyle w:val="Compact"/>
      </w:pPr>
      <w:r>
        <w:t xml:space="preserve">for v1.1, reviewing every unit whose label changed relative to v1.0.</w:t>
      </w:r>
    </w:p>
    <w:p>
      <w:pPr>
        <w:pStyle w:val="FirstParagraph"/>
      </w:pPr>
      <w:r>
        <w:t xml:space="preserve">Each error found led to a rule change, documented in</w:t>
      </w:r>
      <w:r>
        <w:t xml:space="preserve"> </w:t>
      </w:r>
      <w:r>
        <w:rPr>
          <w:rStyle w:val="VerbatimChar"/>
        </w:rPr>
        <w:t xml:space="preserve">c_change_log.csv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b_revised_rules_v1.1.csv</w:t>
      </w:r>
      <w:r>
        <w:t xml:space="preserve"> </w:t>
      </w:r>
      <w:r>
        <w:t xml:space="preserve">(</w:t>
      </w:r>
      <w:r>
        <w:rPr>
          <w:rStyle w:val="VerbatimChar"/>
        </w:rPr>
        <w:t xml:space="preserve">version_change</w:t>
      </w:r>
      <w:r>
        <w:t xml:space="preserve">).</w:t>
      </w:r>
    </w:p>
    <w:p>
      <w:pPr>
        <w:pStyle w:val="BodyText"/>
      </w:pPr>
      <w:r>
        <w:rPr>
          <w:bCs/>
          <w:b/>
        </w:rPr>
        <w:t xml:space="preserve">Independent validation.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Sample.</w:t>
      </w:r>
      <w:r>
        <w:t xml:space="preserve"> </w:t>
      </w:r>
      <w:r>
        <w:t xml:space="preserve">601 units drawn under v1.0 with seed 20261031 across 32 strata: period of use (pre-2018 only / post-2018 only / both) × predicted class (Strict / Extended-only / non-ESG / Unknown) × frequency (1 / 2–9 / 10+ rows).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Never redrawn.</w:t>
      </w:r>
      <w:r>
        <w:t xml:space="preserve"> </w:t>
      </w:r>
      <w:r>
        <w:t xml:space="preserve">The sample is frozen under v1.0, and every later classifier version is scored on the same probability sample.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Weights.</w:t>
      </w:r>
      <w:r>
        <w:t xml:space="preserve"> </w:t>
      </w:r>
      <w:r>
        <w:t xml:space="preserve">Each unit is sampled once, so repeated descriptions are not double counted. Unit weights are N_h/n_h; row weights are N_h/n_h × n_goal_rows.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Materials.</w:t>
      </w:r>
    </w:p>
    <w:p>
      <w:pPr>
        <w:numPr>
          <w:ilvl w:val="1"/>
          <w:numId w:val="1042"/>
        </w:numPr>
        <w:pStyle w:val="Compact"/>
      </w:pPr>
      <w:r>
        <w:t xml:space="preserve">blind coding sheets for two coders;</w:t>
      </w:r>
    </w:p>
    <w:p>
      <w:pPr>
        <w:numPr>
          <w:ilvl w:val="1"/>
          <w:numId w:val="1042"/>
        </w:numPr>
        <w:pStyle w:val="Compact"/>
      </w:pPr>
      <w:r>
        <w:t xml:space="preserve">the answer key (local only);</w:t>
      </w:r>
    </w:p>
    <w:p>
      <w:pPr>
        <w:numPr>
          <w:ilvl w:val="1"/>
          <w:numId w:val="1042"/>
        </w:numPr>
        <w:pStyle w:val="Compact"/>
      </w:pPr>
      <w:r>
        <w:rPr>
          <w:rStyle w:val="VerbatimChar"/>
        </w:rPr>
        <w:t xml:space="preserve">Validation/CODING_GUIDELINES.md</w:t>
      </w:r>
      <w:r>
        <w:t xml:space="preserve">;</w:t>
      </w:r>
    </w:p>
    <w:p>
      <w:pPr>
        <w:numPr>
          <w:ilvl w:val="1"/>
          <w:numId w:val="1042"/>
        </w:numPr>
        <w:pStyle w:val="Compact"/>
      </w:pPr>
      <w:r>
        <w:t xml:space="preserve">a review queue of frequent Unknown and conflicting units (not part of the validation sample).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Scoring (Step 13).</w:t>
      </w:r>
      <w:r>
        <w:t xml:space="preserve"> </w:t>
      </w:r>
      <w:r>
        <w:t xml:space="preserve">Computed for the current version and for v1.0:</w:t>
      </w:r>
    </w:p>
    <w:p>
      <w:pPr>
        <w:numPr>
          <w:ilvl w:val="1"/>
          <w:numId w:val="1043"/>
        </w:numPr>
        <w:pStyle w:val="Compact"/>
      </w:pPr>
      <w:r>
        <w:t xml:space="preserve">precision, recall, F1, FPR, FNR and Unknown rate by period, dimension and frequency;</w:t>
      </w:r>
    </w:p>
    <w:p>
      <w:pPr>
        <w:numPr>
          <w:ilvl w:val="1"/>
          <w:numId w:val="1043"/>
        </w:numPr>
        <w:pStyle w:val="Compact"/>
      </w:pPr>
      <w:r>
        <w:t xml:space="preserve">stratum weights, with stratified bootstrap CIs over units;</w:t>
      </w:r>
    </w:p>
    <w:p>
      <w:pPr>
        <w:numPr>
          <w:ilvl w:val="1"/>
          <w:numId w:val="1043"/>
        </w:numPr>
        <w:pStyle w:val="Compact"/>
      </w:pPr>
      <w:r>
        <w:t xml:space="preserve">Cohen's kappa, with Unknown as its own category.</w:t>
      </w:r>
    </w:p>
    <w:p>
      <w:pPr>
        <w:numPr>
          <w:ilvl w:val="0"/>
          <w:numId w:val="1041"/>
        </w:numPr>
        <w:pStyle w:val="Compac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Every label comes from the deterministic classifier v1.1. No adjudicated human reference labels exist yet, so</w:t>
      </w:r>
      <w:r>
        <w:t xml:space="preserve"> </w:t>
      </w:r>
      <w:r>
        <w:rPr>
          <w:bCs/>
          <w:b/>
        </w:rPr>
        <w:t xml:space="preserve">no accuracy statistic is reported</w:t>
      </w:r>
      <w:r>
        <w:t xml:space="preserve">. The blind validation sample (601 units, frozen under v1.0), the coding guideline and the scoring code are ready (§12).</w:t>
      </w:r>
    </w:p>
    <w:p>
      <w:pPr>
        <w:pStyle w:val="FirstParagraph"/>
      </w:pPr>
      <w:r>
        <w:rPr>
          <w:bCs/>
          <w:b/>
        </w:rPr>
        <w:t xml:space="preserve">Comparison with AGHJ (2025)</w:t>
      </w:r>
      <w:r>
        <w:t xml:space="preserve"> </w:t>
      </w:r>
      <w:r>
        <w:t xml:space="preserve">(</w:t>
      </w:r>
      <w:r>
        <w:rPr>
          <w:rStyle w:val="VerbatimChar"/>
        </w:rPr>
        <w:t xml:space="preserve">Validation/e_*.csv</w:t>
      </w:r>
      <w:r>
        <w:t xml:space="preserve">; goal-record level, 1998–2021):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v1.1 Strict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Strict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AGHJ = 1 (53,123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29,442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16,773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6,908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AGHJ = 0 (760,968 rows)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651,211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109,080</w:t>
            </w:r>
          </w:p>
        </w:tc>
      </w:tr>
    </w:tbl>
    <w:p>
      <w:pPr>
        <w:pStyle w:val="BodyText"/>
      </w:pPr>
      <w:r>
        <w:t xml:space="preserve">The 23,681 AGHJ-positive goal rows that v1.1 does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classify as Strict ESG fall into these mutually exclusive unit categories: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rows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Extended-only (customer retention, SAIDI, patient satisfaction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3,112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ESG-adjacent by definition (regulatory compliance, succession, culture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5,306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Unknown, no adjacent flag (e.g. 'Leadership', 'Integrity', 'Energy efficiency')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Generic or false positive (cost/debt 'reduction', 'policies in force', company names …)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8,558</w:t>
            </w:r>
          </w:p>
        </w:tc>
      </w:tr>
    </w:tbl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Additional Strict ESG.</w:t>
      </w:r>
      <w:r>
        <w:t xml:space="preserve"> </w:t>
      </w:r>
      <w:r>
        <w:t xml:space="preserve">In the other direction, v1.1 identifies 100 units (677 rows) as Strict ESG that no AGHJ term matches.</w:t>
      </w:r>
    </w:p>
    <w:p>
      <w:pPr>
        <w:numPr>
          <w:ilvl w:val="0"/>
          <w:numId w:val="1044"/>
        </w:numPr>
        <w:pStyle w:val="Compact"/>
      </w:pPr>
      <w:r>
        <w:rPr>
          <w:bCs/>
          <w:b/>
        </w:rPr>
        <w:t xml:space="preserve">No Unknown state in AGHJ.</w:t>
      </w:r>
      <w:r>
        <w:t xml:space="preserve"> </w:t>
      </w:r>
      <w:r>
        <w:t xml:space="preserve">The AGHJ method treats blank</w:t>
      </w:r>
      <w:r>
        <w:t xml:space="preserve"> </w:t>
      </w:r>
      <w:r>
        <w:rPr>
          <w:rStyle w:val="VerbatimChar"/>
        </w:rPr>
        <w:t xml:space="preserve">metricOther</w:t>
      </w:r>
      <w:r>
        <w:t xml:space="preserve"> </w:t>
      </w:r>
      <w:r>
        <w:t xml:space="preserve">as non-ESG, and that covers up to 68% of rows in early years.</w:t>
      </w:r>
    </w:p>
    <w:p>
      <w:pPr>
        <w:pStyle w:val="FirstParagraph"/>
      </w:pPr>
      <w:r>
        <w:rPr>
          <w:bCs/>
          <w:b/>
        </w:rPr>
        <w:t xml:space="preserve">Replication benchmark.</w:t>
      </w:r>
      <w:r>
        <w:t xml:space="preserve"> </w:t>
      </w:r>
      <w:r>
        <w:rPr>
          <w:rStyle w:val="VerbatimChar"/>
        </w:rPr>
        <w:t xml:space="preserve">Validation/e_paper_replication_benchmark.csv</w:t>
      </w:r>
      <w:r>
        <w:t xml:space="preserve"> </w:t>
      </w:r>
      <w:r>
        <w:t xml:space="preserve">reproduces the AGHJ (2025) Table 1 series with our implementation of their keyword method:</w:t>
      </w:r>
    </w:p>
    <w:p>
      <w:pPr>
        <w:numPr>
          <w:ilvl w:val="0"/>
          <w:numId w:val="1045"/>
        </w:numPr>
        <w:pStyle w:val="Compact"/>
      </w:pPr>
      <w:r>
        <w:t xml:space="preserve">unit: executive-years with performance-based pay;</w:t>
      </w:r>
    </w:p>
    <w:p>
      <w:pPr>
        <w:numPr>
          <w:ilvl w:val="0"/>
          <w:numId w:val="1045"/>
        </w:numPr>
        <w:pStyle w:val="Compact"/>
      </w:pPr>
      <w:r>
        <w:t xml:space="preserve">an executive-year counts as ESG if any metric text contains an AGHJ keyword.</w:t>
      </w:r>
    </w:p>
    <w:p>
      <w:pPr>
        <w:pStyle w:val="FirstParagraph"/>
      </w:pPr>
      <w:r>
        <w:t xml:space="preserve">This checks how our implementation of their method compares with their published series. It is not a validation of our classifier.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Executive-years (ours)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AGHJ method, our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AGHJ Table 1 (published)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Strict lb, our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5,450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5,960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6,674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7,332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7,918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8,517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8,721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9,318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10,056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10,206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10,475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10,564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9,951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32.3%</w:t>
            </w:r>
          </w:p>
        </w:tc>
      </w:tr>
    </w:tbl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Where it matches.</w:t>
      </w:r>
      <w:r>
        <w:t xml:space="preserve"> </w:t>
      </w:r>
      <w:r>
        <w:t xml:space="preserve">Our implementation is within 3 pp of the published series in 2008, 2011, 2012, 2016, 2017, 2018, 2020.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Why the published series is noisy before 2018.</w:t>
      </w:r>
      <w:r>
        <w:t xml:space="preserve"> </w:t>
      </w:r>
      <w:r>
        <w:t xml:space="preserve">It rests on only n/a observations per year (Table 1, "# Metrics"), compared with several thousand executive-years in ours.</w:t>
      </w:r>
    </w:p>
    <w:p>
      <w:pPr>
        <w:numPr>
          <w:ilvl w:val="0"/>
          <w:numId w:val="1046"/>
        </w:numPr>
        <w:pStyle w:val="Compact"/>
      </w:pPr>
      <w:r>
        <w:rPr>
          <w:bCs/>
          <w:b/>
        </w:rPr>
        <w:t xml:space="preserve">Other sources of difference:</w:t>
      </w:r>
    </w:p>
    <w:p>
      <w:pPr>
        <w:numPr>
          <w:ilvl w:val="1"/>
          <w:numId w:val="1047"/>
        </w:numPr>
        <w:pStyle w:val="Compact"/>
      </w:pPr>
      <w:r>
        <w:t xml:space="preserve">sample construction (their merge with ExecuComp and other filters);</w:t>
      </w:r>
    </w:p>
    <w:p>
      <w:pPr>
        <w:numPr>
          <w:ilvl w:val="1"/>
          <w:numId w:val="1047"/>
        </w:numPr>
        <w:pStyle w:val="Compact"/>
      </w:pPr>
      <w:r>
        <w:t xml:space="preserve">the 78 undisclosed removed terms.</w:t>
      </w:r>
    </w:p>
    <w:bookmarkEnd w:id="34"/>
    <w:bookmarkStart w:id="35" w:name="X916a1da25f46c4f1f873539c7fbe98c9259b2b8"/>
    <w:p>
      <w:pPr>
        <w:pStyle w:val="Heading2"/>
      </w:pPr>
      <w:r>
        <w:t xml:space="preserve">13. Missingness and coverage</w:t>
      </w:r>
    </w:p>
    <w:p>
      <w:pPr>
        <w:pStyle w:val="FirstParagraph"/>
      </w:pPr>
      <w:r>
        <w:t xml:space="preserve">Goal-record level (</w:t>
      </w:r>
      <w:r>
        <w:rPr>
          <w:rStyle w:val="VerbatimChar"/>
        </w:rPr>
        <w:t xml:space="preserve">Annual_Analysis/annual_text_coverage.csv</w:t>
      </w:r>
      <w:r>
        <w:t xml:space="preserve">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 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metricOther blank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v1.1 Strict Unknown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 ESG share (diag)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11,768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14,068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37,493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46,929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48,305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46,425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8.7%</w:t>
            </w:r>
          </w:p>
        </w:tc>
      </w:tr>
    </w:tbl>
    <w:p>
      <w:pPr>
        <w:pStyle w:val="BodyText"/>
      </w:pPr>
      <w:r>
        <w:t xml:space="preserve">Despite the very different blank-text rates, Unknown shares are similar across years. Blank financial-label rows are informative, and structured context is used.</w:t>
      </w:r>
    </w:p>
    <w:p>
      <w:pPr>
        <w:pStyle w:val="BodyText"/>
      </w:pPr>
      <w:r>
        <w:t xml:space="preserve">At unit level, adoption Unknown is large: one unresolved KPI in any performance grant leaves a non-adopting unit Unknown, and annual bonus plans often contain "Individual performance". Hence:</w:t>
      </w:r>
    </w:p>
    <w:p>
      <w:pPr>
        <w:numPr>
          <w:ilvl w:val="0"/>
          <w:numId w:val="1048"/>
        </w:numPr>
        <w:pStyle w:val="Compact"/>
      </w:pPr>
      <w:r>
        <w:t xml:space="preserve">every share is published with</w:t>
      </w:r>
      <w:r>
        <w:t xml:space="preserve"> </w:t>
      </w:r>
      <w:r>
        <w:rPr>
          <w:rStyle w:val="VerbatimChar"/>
        </w:rPr>
        <w:t xml:space="preserve">_lb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_ub</w:t>
      </w:r>
      <w:r>
        <w:t xml:space="preserve"> </w:t>
      </w:r>
      <w:r>
        <w:t xml:space="preserve">and coverage;</w:t>
      </w:r>
    </w:p>
    <w:p>
      <w:pPr>
        <w:numPr>
          <w:ilvl w:val="0"/>
          <w:numId w:val="1048"/>
        </w:numPr>
        <w:pStyle w:val="Compact"/>
      </w:pPr>
      <w:r>
        <w:t xml:space="preserve">adoption is reported as lower bound / complete-case / upper bound.</w:t>
      </w:r>
    </w:p>
    <w:bookmarkEnd w:id="35"/>
    <w:bookmarkStart w:id="36" w:name="X40fb8f87a4203a41b8d476f115e429cf76edb13"/>
    <w:p>
      <w:pPr>
        <w:pStyle w:val="Heading2"/>
      </w:pPr>
      <w:r>
        <w:t xml:space="preserve">14. Exact numerator / denominator definitions</w:t>
      </w:r>
    </w:p>
    <w:p>
      <w:pPr>
        <w:pStyle w:val="FirstParagraph"/>
      </w:pPr>
      <w:r>
        <w:t xml:space="preserve">Full details are in</w:t>
      </w:r>
      <w:r>
        <w:t xml:space="preserve"> </w:t>
      </w:r>
      <w:r>
        <w:rPr>
          <w:rStyle w:val="VerbatimChar"/>
        </w:rPr>
        <w:t xml:space="preserve">Documentation/variable_dictionary.csv</w:t>
      </w:r>
      <w:r>
        <w:t xml:space="preserve">. It gives the formula, numerator, denominator, values, missing interpretation and source for all 561 variables.</w:t>
      </w:r>
    </w:p>
    <w:p>
      <w:pPr>
        <w:pStyle w:val="BodyText"/>
      </w:pPr>
      <w:r>
        <w:rPr>
          <w:bCs/>
          <w:b/>
        </w:rPr>
        <w:t xml:space="preserve">Grant ESG</w:t>
      </w:r>
    </w:p>
    <w:p>
      <w:pPr>
        <w:numPr>
          <w:ilvl w:val="0"/>
          <w:numId w:val="1049"/>
        </w:numPr>
        <w:pStyle w:val="Compact"/>
      </w:pPr>
      <w:r>
        <w:t xml:space="preserve">1 = ≥1 KPI is ESG.</w:t>
      </w:r>
    </w:p>
    <w:p>
      <w:pPr>
        <w:numPr>
          <w:ilvl w:val="0"/>
          <w:numId w:val="1049"/>
        </w:numPr>
        <w:pStyle w:val="Compact"/>
      </w:pPr>
      <w:r>
        <w:t xml:space="preserve">0 = all KPIs are 0, or the grant is a time grant with no performance condition.</w:t>
      </w:r>
    </w:p>
    <w:p>
      <w:pPr>
        <w:numPr>
          <w:ilvl w:val="0"/>
          <w:numId w:val="1049"/>
        </w:numPr>
        <w:pStyle w:val="Compact"/>
      </w:pPr>
      <w:r>
        <w:rPr>
          <w:rStyle w:val="VerbatimChar"/>
        </w:rPr>
        <w:t xml:space="preserve">.</w:t>
      </w:r>
      <w:r>
        <w:t xml:space="preserve"> </w:t>
      </w:r>
      <w:r>
        <w:t xml:space="preserve">otherwise. This includes performance grants with missing goal data and grants with incomplete goal data (§5).</w:t>
      </w:r>
    </w:p>
    <w:p>
      <w:pPr>
        <w:pStyle w:val="FirstParagraph"/>
      </w:pPr>
      <w:r>
        <w:rPr>
          <w:bCs/>
          <w:b/>
        </w:rPr>
        <w:t xml:space="preserve">Adoption (unit)</w:t>
      </w:r>
    </w:p>
    <w:p>
      <w:pPr>
        <w:numPr>
          <w:ilvl w:val="0"/>
          <w:numId w:val="1050"/>
        </w:numPr>
        <w:pStyle w:val="Compact"/>
      </w:pPr>
      <w:r>
        <w:t xml:space="preserve">1 = ≥1 grant in the universe is 1.</w:t>
      </w:r>
    </w:p>
    <w:p>
      <w:pPr>
        <w:numPr>
          <w:ilvl w:val="0"/>
          <w:numId w:val="1050"/>
        </w:numPr>
        <w:pStyle w:val="Compact"/>
      </w:pPr>
      <w:r>
        <w:t xml:space="preserve">0 = all grants are 0.</w:t>
      </w:r>
    </w:p>
    <w:p>
      <w:pPr>
        <w:numPr>
          <w:ilvl w:val="0"/>
          <w:numId w:val="1050"/>
        </w:numPr>
        <w:pStyle w:val="Compact"/>
      </w:pPr>
      <w:r>
        <w:rPr>
          <w:rStyle w:val="VerbatimChar"/>
        </w:rPr>
        <w:t xml:space="preserve">.</w:t>
      </w:r>
      <w:r>
        <w:t xml:space="preserve"> </w:t>
      </w:r>
      <w:r>
        <w:t xml:space="preserve">otherwise, or empty universe.</w:t>
      </w:r>
    </w:p>
    <w:p>
      <w:pPr>
        <w:numPr>
          <w:ilvl w:val="0"/>
          <w:numId w:val="1050"/>
        </w:numPr>
        <w:pStyle w:val="Compact"/>
      </w:pPr>
      <w:r>
        <w:t xml:space="preserve">Universes: ALL grants / PERF grants / PERF_CASH / PERF_EQUITY.</w:t>
      </w:r>
    </w:p>
    <w:p>
      <w:pPr>
        <w:pStyle w:val="FirstParagraph"/>
      </w:pPr>
      <w:r>
        <w:rPr>
          <w:bCs/>
          <w:b/>
        </w:rPr>
        <w:t xml:space="preserve">Pillar adoption</w:t>
      </w:r>
    </w:p>
    <w:p>
      <w:pPr>
        <w:numPr>
          <w:ilvl w:val="0"/>
          <w:numId w:val="1051"/>
        </w:numPr>
        <w:pStyle w:val="Compact"/>
      </w:pPr>
      <w:r>
        <w:t xml:space="preserve">1 = ≥1 grant has a confirmed E (S, G) condition.</w:t>
      </w:r>
    </w:p>
    <w:p>
      <w:pPr>
        <w:numPr>
          <w:ilvl w:val="0"/>
          <w:numId w:val="1051"/>
        </w:numPr>
        <w:pStyle w:val="Compact"/>
      </w:pPr>
      <w:r>
        <w:t xml:space="preserve">0 = every performance grant has that pillar = 0.</w:t>
      </w:r>
    </w:p>
    <w:p>
      <w:pPr>
        <w:numPr>
          <w:ilvl w:val="0"/>
          <w:numId w:val="1051"/>
        </w:numPr>
        <w:pStyle w:val="Compact"/>
      </w:pPr>
      <w:r>
        <w:rPr>
          <w:rStyle w:val="VerbatimChar"/>
        </w:rPr>
        <w:t xml:space="preserve">.</w:t>
      </w:r>
      <w:r>
        <w:t xml:space="preserve"> </w:t>
      </w:r>
      <w:r>
        <w:t xml:space="preserve">otherwise.</w:t>
      </w:r>
    </w:p>
    <w:p>
      <w:pPr>
        <w:pStyle w:val="FirstParagraph"/>
      </w:pPr>
      <w:r>
        <w:rPr>
          <w:bCs/>
          <w:b/>
        </w:rPr>
        <w:t xml:space="preserve">Grant share</w:t>
      </w:r>
      <w:r>
        <w:t xml:space="preserve"> </w:t>
      </w:r>
      <w:r>
        <w:t xml:space="preserve">(= #ESG grants / #grants in universe)</w:t>
      </w:r>
    </w:p>
    <w:p>
      <w:pPr>
        <w:numPr>
          <w:ilvl w:val="0"/>
          <w:numId w:val="1052"/>
        </w:numPr>
        <w:pStyle w:val="Compact"/>
      </w:pPr>
      <w:r>
        <w:t xml:space="preserve">Published only if #unknown = 0.</w:t>
      </w:r>
    </w:p>
    <w:p>
      <w:pPr>
        <w:numPr>
          <w:ilvl w:val="0"/>
          <w:numId w:val="1052"/>
        </w:numPr>
        <w:pStyle w:val="Compact"/>
      </w:pPr>
      <w:r>
        <w:rPr>
          <w:rStyle w:val="VerbatimChar"/>
        </w:rPr>
        <w:t xml:space="preserve">_lb</w:t>
      </w:r>
      <w:r>
        <w:t xml:space="preserve"> </w:t>
      </w:r>
      <w:r>
        <w:t xml:space="preserve">= #ESG / N;</w:t>
      </w:r>
      <w:r>
        <w:t xml:space="preserve"> </w:t>
      </w:r>
      <w:r>
        <w:rPr>
          <w:rStyle w:val="VerbatimChar"/>
        </w:rPr>
        <w:t xml:space="preserve">_ub</w:t>
      </w:r>
      <w:r>
        <w:t xml:space="preserve"> </w:t>
      </w:r>
      <w:r>
        <w:t xml:space="preserve">= (#ESG + #unknown) / N; coverage = #known / N.</w:t>
      </w:r>
    </w:p>
    <w:p>
      <w:pPr>
        <w:pStyle w:val="FirstParagraph"/>
      </w:pPr>
      <w:r>
        <w:rPr>
          <w:bCs/>
          <w:b/>
        </w:rPr>
        <w:t xml:space="preserve">KPI share</w:t>
      </w:r>
      <w:r>
        <w:t xml:space="preserve"> </w:t>
      </w:r>
      <w:r>
        <w:t xml:space="preserve">(= #distinct ESG KPIs / #distinct KPIs), with the same exact / lb / ub rule.</w:t>
      </w:r>
    </w:p>
    <w:p>
      <w:pPr>
        <w:pStyle w:val="BodyText"/>
      </w:pPr>
      <w:r>
        <w:rPr>
          <w:bCs/>
          <w:b/>
        </w:rPr>
        <w:t xml:space="preserve">E/S/G grant and KPI shares</w:t>
      </w:r>
      <w:r>
        <w:t xml:space="preserve"> </w:t>
      </w:r>
      <w:r>
        <w:t xml:space="preserve">(= #performance grants with a confirmed E (S, G) condition / #performance grants)</w:t>
      </w:r>
    </w:p>
    <w:p>
      <w:pPr>
        <w:numPr>
          <w:ilvl w:val="0"/>
          <w:numId w:val="1053"/>
        </w:numPr>
        <w:pStyle w:val="Compact"/>
      </w:pPr>
      <w:r>
        <w:rPr>
          <w:rStyle w:val="VerbatimChar"/>
        </w:rPr>
        <w:t xml:space="preserve">_lb</w:t>
      </w:r>
      <w:r>
        <w:t xml:space="preserve"> </w:t>
      </w:r>
      <w:r>
        <w:t xml:space="preserve">counts pillar-Unknown as 0 and</w:t>
      </w:r>
      <w:r>
        <w:t xml:space="preserve"> </w:t>
      </w:r>
      <w:r>
        <w:rPr>
          <w:rStyle w:val="VerbatimChar"/>
        </w:rPr>
        <w:t xml:space="preserve">_ub</w:t>
      </w:r>
      <w:r>
        <w:t xml:space="preserve"> </w:t>
      </w:r>
      <w:r>
        <w:t xml:space="preserve">counts it as 1.</w:t>
      </w:r>
    </w:p>
    <w:p>
      <w:pPr>
        <w:numPr>
          <w:ilvl w:val="0"/>
          <w:numId w:val="1053"/>
        </w:numPr>
        <w:pStyle w:val="Compact"/>
      </w:pPr>
      <w:r>
        <w:t xml:space="preserve">The exact share requires every pillar to be known.</w:t>
      </w:r>
    </w:p>
    <w:p>
      <w:pPr>
        <w:pStyle w:val="FirstParagraph"/>
      </w:pPr>
      <w:r>
        <w:rPr>
          <w:bCs/>
          <w:b/>
        </w:rPr>
        <w:t xml:space="preserve">Value share</w:t>
      </w:r>
    </w:p>
    <w:p>
      <w:pPr>
        <w:numPr>
          <w:ilvl w:val="0"/>
          <w:numId w:val="1054"/>
        </w:numPr>
        <w:pStyle w:val="Compact"/>
      </w:pPr>
      <w:r>
        <w:t xml:space="preserve">= Σ value of grants containing ≥1 Strict ESG condition / Σ value of grants with reported value.</w:t>
      </w:r>
    </w:p>
    <w:p>
      <w:pPr>
        <w:numPr>
          <w:ilvl w:val="0"/>
          <w:numId w:val="1054"/>
        </w:numPr>
        <w:pStyle w:val="Compact"/>
      </w:pPr>
      <w:r>
        <w:t xml:space="preserve">Value =</w:t>
      </w:r>
      <w:r>
        <w:t xml:space="preserve"> </w:t>
      </w:r>
      <w:r>
        <w:rPr>
          <w:rStyle w:val="VerbatimChar"/>
        </w:rPr>
        <w:t xml:space="preserve">grant_value_combined</w:t>
      </w:r>
      <w:r>
        <w:t xml:space="preserve">: grant-date fair value, or else the non-equity target payout.</w:t>
      </w:r>
    </w:p>
    <w:p>
      <w:pPr>
        <w:numPr>
          <w:ilvl w:val="0"/>
          <w:numId w:val="1054"/>
        </w:numPr>
        <w:pStyle w:val="Compact"/>
      </w:pPr>
      <w:r>
        <w:rPr>
          <w:bCs/>
          <w:b/>
        </w:rPr>
        <w:t xml:space="preserve">This is not value attributable to ESG.</w:t>
      </w:r>
      <w:r>
        <w:t xml:space="preserve"> </w:t>
      </w:r>
      <w:r>
        <w:t xml:space="preserve">ISS</w:t>
      </w:r>
      <w:r>
        <w:t xml:space="preserve"> </w:t>
      </w:r>
      <w:r>
        <w:rPr>
          <w:rStyle w:val="VerbatimChar"/>
        </w:rPr>
        <w:t xml:space="preserve">percentVest</w:t>
      </w:r>
      <w:r>
        <w:t xml:space="preserve"> </w:t>
      </w:r>
      <w:r>
        <w:t xml:space="preserve">is the share of the award per</w:t>
      </w:r>
      <w:r>
        <w:t xml:space="preserve"> </w:t>
      </w:r>
      <w:r>
        <w:rPr>
          <w:iCs/>
          <w:i/>
        </w:rPr>
        <w:t xml:space="preserve">measurement period</w:t>
      </w:r>
      <w:r>
        <w:t xml:space="preserve">. It interacts with AND/OR performance groupings and "extra" adjustments (User Guide pp. 4–6). Reliable KPI weights are therefore not observable, and none are fabricated.</w:t>
      </w:r>
    </w:p>
    <w:bookmarkEnd w:id="36"/>
    <w:bookmarkStart w:id="37" w:name="X7efdfd9f10c18187e3f01d98053b9db32d0c3de"/>
    <w:p>
      <w:pPr>
        <w:pStyle w:val="Heading2"/>
      </w:pPr>
      <w:r>
        <w:t xml:space="preserve">15. Dataset observation counts and 16. Primary keys</w:t>
      </w:r>
    </w:p>
    <w:p>
      <w:pPr>
        <w:pStyle w:val="FirstParagraph"/>
      </w:pPr>
      <w:r>
        <w:t xml:space="preserve">Also in</w:t>
      </w:r>
      <w:r>
        <w:t xml:space="preserve"> </w:t>
      </w:r>
      <w:r>
        <w:rPr>
          <w:rStyle w:val="VerbatimChar"/>
        </w:rPr>
        <w:t xml:space="preserve">Documentation/dataset_summary.csv</w:t>
      </w:r>
      <w:r>
        <w:t xml:space="preserve">. Every key was verified unique and non-missing on re-read (Step 16).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ESG_Text_Dictionary.dta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38,590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</w:t>
            </w:r>
            <w:r>
              <w:t xml:space="preserve"> </w:t>
            </w:r>
            <w:r>
              <w:rPr>
                <w:rStyle w:val="VerbatimChar"/>
              </w:rPr>
              <w:t xml:space="preserve">ESG_KPI_Master.dta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654,123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kpi_id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(B-alt)</w:t>
            </w:r>
            <w:r>
              <w:t xml:space="preserve"> </w:t>
            </w:r>
            <w:r>
              <w:rPr>
                <w:rStyle w:val="VerbatimChar"/>
              </w:rPr>
              <w:t xml:space="preserve">ESG_Goal_Record_Classification.dta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814,091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goal_record_id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</w:t>
            </w:r>
            <w:r>
              <w:t xml:space="preserve"> </w:t>
            </w:r>
            <w:r>
              <w:rPr>
                <w:rStyle w:val="VerbatimChar"/>
              </w:rPr>
              <w:t xml:space="preserve">ESG_Grant_Master.dta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469,429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</w:t>
            </w:r>
            <w:r>
              <w:t xml:space="preserve"> </w:t>
            </w:r>
            <w:r>
              <w:rPr>
                <w:rStyle w:val="VerbatimChar"/>
              </w:rPr>
              <w:t xml:space="preserve">ESG_Executive_Firm_Year.dta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164,832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cik + fiscalyear + participantid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ESG_CEO_Firm_Year.dta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cik + fiscalyear + participantid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</w:t>
            </w:r>
            <w:r>
              <w:t xml:space="preserve"> </w:t>
            </w:r>
            <w:r>
              <w:rPr>
                <w:rStyle w:val="VerbatimChar"/>
              </w:rPr>
              <w:t xml:space="preserve">ESG_Firm_Year_Master.dta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33,328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cik + fiscalyear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  <w:r>
              <w:t xml:space="preserve"> </w:t>
            </w:r>
            <w:r>
              <w:rPr>
                <w:rStyle w:val="VerbatimChar"/>
              </w:rPr>
              <w:t xml:space="preserve">ESG_NonCEO_Firm_Year.dta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31,944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cik + fiscalyear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1998–2021</w:t>
            </w:r>
          </w:p>
        </w:tc>
      </w:tr>
    </w:tbl>
    <w:p>
      <w:pPr>
        <w:pStyle w:val="BodyText"/>
      </w:pPr>
      <w:r>
        <w:rPr>
          <w:bCs/>
          <w:b/>
        </w:rPr>
        <w:t xml:space="preserve">Stata names.</w:t>
      </w:r>
      <w:r>
        <w:t xml:space="preserve"> </w:t>
      </w:r>
      <w:r>
        <w:t xml:space="preserve">Names are ≤ 32 characters.</w:t>
      </w:r>
    </w:p>
    <w:p>
      <w:pPr>
        <w:numPr>
          <w:ilvl w:val="0"/>
          <w:numId w:val="1055"/>
        </w:numPr>
        <w:pStyle w:val="Compact"/>
      </w:pPr>
      <w:r>
        <w:t xml:space="preserve">Overlong preferred names are shortened by a fixed rule, e.g.</w:t>
      </w:r>
      <w:r>
        <w:t xml:space="preserve"> </w:t>
      </w:r>
      <w:r>
        <w:rPr>
          <w:rStyle w:val="VerbatimChar"/>
        </w:rPr>
        <w:t xml:space="preserve">_extended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_ext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classification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_strict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_str</w:t>
      </w:r>
      <w:r>
        <w:t xml:space="preserve">,</w:t>
      </w:r>
      <w:r>
        <w:t xml:space="preserve"> </w:t>
      </w:r>
      <w:r>
        <w:rPr>
          <w:rStyle w:val="VerbatimChar"/>
        </w:rPr>
        <w:t xml:space="preserve">_grant_share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_gshr</w:t>
      </w:r>
      <w:r>
        <w:t xml:space="preserve">.</w:t>
      </w:r>
    </w:p>
    <w:p>
      <w:pPr>
        <w:numPr>
          <w:ilvl w:val="0"/>
          <w:numId w:val="1055"/>
        </w:numPr>
        <w:pStyle w:val="Compact"/>
      </w:pPr>
      <w:r>
        <w:t xml:space="preserve">The mapping is in the variable dictionary (</w:t>
      </w:r>
      <w:r>
        <w:rPr>
          <w:rStyle w:val="VerbatimChar"/>
        </w:rPr>
        <w:t xml:space="preserve">preferred_name</w:t>
      </w:r>
      <w:r>
        <w:t xml:space="preserve">).</w:t>
      </w:r>
    </w:p>
    <w:p>
      <w:pPr>
        <w:numPr>
          <w:ilvl w:val="0"/>
          <w:numId w:val="1055"/>
        </w:numPr>
        <w:pStyle w:val="Compact"/>
      </w:pPr>
      <w:r>
        <w:t xml:space="preserve">Strings are stored as UTF-8.</w:t>
      </w:r>
    </w:p>
    <w:bookmarkEnd w:id="37"/>
    <w:bookmarkStart w:id="38" w:name="X1d5a4436dd313864f5d4f1aa27799ada990b6c8"/>
    <w:p>
      <w:pPr>
        <w:pStyle w:val="Heading2"/>
      </w:pPr>
      <w:r>
        <w:t xml:space="preserve">17. Matching and reconciliation statistics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Goal records →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99.9988% matched (10 records, 3 grants unmatched)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Grants → ParticipantFY (exact 4 keys)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99.975% matched (117 unmatched)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Grants → CompanyFY firm-year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(asserted)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KPI source rows = goal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814,091 = 814,091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grant KPIs = KPI master (matched grants); esg + non-esg + unknown = n_kpis per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Σ executive grants = Σ firm grants = grant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469,429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Firm ESG / perf / all grant counts = Σ over executive-years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for every firm-year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Shares in [0,1]; lb ≤ ub; exact = lb when complete; cash + equity ≤ perf; pillar adoption ⇒ Strict adoption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 (Steps 08–11) and re-checked (Step 16)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Strict = 1 ⇒ Extended =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asserted; 0 violations</w:t>
            </w:r>
          </w:p>
        </w:tc>
      </w:tr>
    </w:tbl>
    <w:p>
      <w:pPr>
        <w:pStyle w:val="BodyText"/>
      </w:pPr>
      <w:r>
        <w:t xml:space="preserve">All of these are asserted in code; any failure stops the pipeline. The independent quality audit (Step 16) re-derives grant ESG, unit counts, adoption, E/S/G adoption and lb shares from the lower-level data in the final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files.</w:t>
      </w:r>
    </w:p>
    <w:p>
      <w:pPr>
        <w:numPr>
          <w:ilvl w:val="0"/>
          <w:numId w:val="1056"/>
        </w:numPr>
        <w:pStyle w:val="Compact"/>
      </w:pPr>
      <w:r>
        <w:t xml:space="preserve">Result: 93 checks: PASS 77, FAIL 0, WARN 2, INFO 14.</w:t>
      </w:r>
    </w:p>
    <w:p>
      <w:pPr>
        <w:numPr>
          <w:ilvl w:val="0"/>
          <w:numId w:val="1056"/>
        </w:numPr>
        <w:pStyle w:val="Compact"/>
      </w:pPr>
      <w:r>
        <w:t xml:space="preserve">Details:</w:t>
      </w:r>
      <w:r>
        <w:t xml:space="preserve"> </w:t>
      </w:r>
      <w:r>
        <w:rPr>
          <w:rStyle w:val="VerbatimChar"/>
        </w:rPr>
        <w:t xml:space="preserve">Documentation/quality_audit_results.csv</w:t>
      </w:r>
      <w:r>
        <w:t xml:space="preserve">.</w:t>
      </w:r>
    </w:p>
    <w:bookmarkEnd w:id="38"/>
    <w:bookmarkStart w:id="39" w:name="X1a6fe1dc1a37842ae70a2a0271fc50945c947ec"/>
    <w:p>
      <w:pPr>
        <w:pStyle w:val="Heading2"/>
      </w:pPr>
      <w:r>
        <w:t xml:space="preserve">18. Annual ESG trends</w:t>
      </w:r>
    </w:p>
    <w:p>
      <w:pPr>
        <w:pStyle w:val="FirstParagraph"/>
      </w:pPr>
      <w:r>
        <w:t xml:space="preserve">Full tables are in</w:t>
      </w:r>
      <w:r>
        <w:t xml:space="preserve"> </w:t>
      </w:r>
      <w:r>
        <w:rPr>
          <w:rStyle w:val="VerbatimChar"/>
        </w:rPr>
        <w:t xml:space="preserve">Annual_Analysis/</w:t>
      </w:r>
      <w:r>
        <w:t xml:space="preserve">: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annual_firm_year.csv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annual_executive_year.csv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annual_ceo_year_strict_sample.csv</w:t>
      </w:r>
      <w:r>
        <w:t xml:space="preserve">;</w:t>
      </w:r>
    </w:p>
    <w:p>
      <w:pPr>
        <w:numPr>
          <w:ilvl w:val="0"/>
          <w:numId w:val="1057"/>
        </w:numPr>
        <w:pStyle w:val="Compact"/>
      </w:pPr>
      <w:r>
        <w:rPr>
          <w:rStyle w:val="VerbatimChar"/>
        </w:rPr>
        <w:t xml:space="preserve">annual_cash_vs_equity_firm.csv</w:t>
      </w:r>
      <w:r>
        <w:t xml:space="preserve">.</w:t>
      </w:r>
    </w:p>
    <w:p>
      <w:pPr>
        <w:pStyle w:val="FirstParagraph"/>
      </w:pPr>
      <w:r>
        <w:t xml:space="preserve">Firm-years with performance grants, Strict ESG adoption: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Extended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perf-grant share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 perf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 ESG (diag)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59.5%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30.1%</w:t>
            </w:r>
          </w:p>
        </w:tc>
      </w:tr>
    </w:tbl>
    <w:p>
      <w:pPr>
        <w:pStyle w:val="BodyText"/>
      </w:pPr>
      <w:r>
        <w:t xml:space="preserve">Firm-level pillar adoption (lb):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Pillar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25.0%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</w:tr>
    </w:tbl>
    <w:p>
      <w:pPr>
        <w:pStyle w:val="BodyText"/>
      </w:pPr>
      <w:r>
        <w:t xml:space="preserve">Executive level, Strict adoption lb (CEO strict sample in parentheses):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Executives (CEO)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13.8% (13.0%)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13.7% (13.3%)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 (14.7%)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18.7% (18.5%)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29.4% (29.7%)</w:t>
            </w:r>
          </w:p>
        </w:tc>
      </w:tr>
    </w:tbl>
    <w:p>
      <w:pPr>
        <w:pStyle w:val="BodyText"/>
      </w:pPr>
      <w:r>
        <w:t xml:space="preserve">Cash bonus plans versus equity performance awards (firm-years, Strict adoption lb within each universe):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Firms with perf grants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in any perf grant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in a cash incentive award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ESG in an equity performance award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1,263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1,160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5.3%</w:t>
            </w:r>
          </w:p>
        </w:tc>
      </w:tr>
    </w:tbl>
    <w:bookmarkEnd w:id="39"/>
    <w:bookmarkStart w:id="40" w:name="Xbecd61d34027c991bb1773b773725371ebf4963"/>
    <w:p>
      <w:pPr>
        <w:pStyle w:val="Heading2"/>
      </w:pPr>
      <w:r>
        <w:t xml:space="preserve">19. Interpretation of the 2018 classification change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The rise survives uniform text classification, but the 2018 jump does not.</w:t>
      </w:r>
    </w:p>
    <w:p>
      <w:pPr>
        <w:numPr>
          <w:ilvl w:val="1"/>
          <w:numId w:val="1059"/>
        </w:numPr>
        <w:pStyle w:val="Compact"/>
      </w:pPr>
      <w:r>
        <w:t xml:space="preserve">ISS's own ESG categories move from 0.3% (2017) to 13.7% (2018) of firm-years.</w:t>
      </w:r>
    </w:p>
    <w:p>
      <w:pPr>
        <w:numPr>
          <w:ilvl w:val="1"/>
          <w:numId w:val="1059"/>
        </w:numPr>
        <w:pStyle w:val="Compact"/>
      </w:pPr>
      <w:r>
        <w:t xml:space="preserve">Uniform text classification moves only from 14.6% to 15.4%.</w:t>
      </w:r>
    </w:p>
    <w:p>
      <w:pPr>
        <w:numPr>
          <w:ilvl w:val="1"/>
          <w:numId w:val="1059"/>
        </w:numPr>
        <w:pStyle w:val="Compact"/>
      </w:pPr>
      <w:r>
        <w:t xml:space="preserve">At KPI level, text-Strict ESG KPIs number 1,640 in 2017 and 1,665 in 2018 (</w:t>
      </w:r>
      <w:r>
        <w:rPr>
          <w:rStyle w:val="VerbatimChar"/>
        </w:rPr>
        <w:t xml:space="preserve">break_iss_vs_text_kpi_2014_2021.csv</w:t>
      </w:r>
      <w:r>
        <w:t xml:space="preserve">).</w:t>
      </w:r>
    </w:p>
    <w:p>
      <w:pPr>
        <w:numPr>
          <w:ilvl w:val="1"/>
          <w:numId w:val="1059"/>
        </w:numPr>
        <w:pStyle w:val="Compact"/>
      </w:pPr>
      <w:r>
        <w:t xml:space="preserve">The real increase is concentrated in 2020–2021: 19.4% → 30.4%.</w:t>
      </w:r>
    </w:p>
    <w:p>
      <w:pPr>
        <w:numPr>
          <w:ilvl w:val="0"/>
          <w:numId w:val="1058"/>
        </w:numPr>
        <w:pStyle w:val="Compact"/>
      </w:pPr>
      <w:r>
        <w:rPr>
          <w:bCs/>
          <w:b/>
        </w:rPr>
        <w:t xml:space="preserve">The ISS re-classification created an artificial break.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ISS-ESG KPIs: text Strict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Strict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 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 non-ESG KPIs: text Strict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1,612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1,385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1,576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433</w:t>
            </w:r>
          </w:p>
        </w:tc>
      </w:tr>
    </w:tbl>
    <w:p>
      <w:pPr>
        <w:numPr>
          <w:ilvl w:val="0"/>
          <w:numId w:val="1060"/>
        </w:numPr>
        <w:pStyle w:val="Compact"/>
      </w:pPr>
      <w:r>
        <w:rPr>
          <w:bCs/>
          <w:b/>
        </w:rPr>
        <w:t xml:space="preserve">Sample composition is not the explanation.</w:t>
      </w:r>
    </w:p>
    <w:p>
      <w:pPr>
        <w:numPr>
          <w:ilvl w:val="1"/>
          <w:numId w:val="1061"/>
        </w:numPr>
        <w:pStyle w:val="Compact"/>
      </w:pPr>
      <w:r>
        <w:t xml:space="preserve">1,134 firms continue from 2017 to 2018; their adoption goes from 14.1% to 15.3%.</w:t>
      </w:r>
    </w:p>
    <w:p>
      <w:pPr>
        <w:numPr>
          <w:ilvl w:val="1"/>
          <w:numId w:val="1061"/>
        </w:numPr>
        <w:pStyle w:val="Compact"/>
      </w:pPr>
      <w:r>
        <w:t xml:space="preserve">54 firms exit and 26 enter.</w:t>
      </w:r>
    </w:p>
    <w:p>
      <w:pPr>
        <w:numPr>
          <w:ilvl w:val="1"/>
          <w:numId w:val="1061"/>
        </w:numPr>
        <w:pStyle w:val="Compact"/>
      </w:pPr>
      <w:r>
        <w:t xml:space="preserve">Balanced panel: firms with performance grants in every year 2015–2021 (845 firms). Its Strict adoption is: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Complete-case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Adopt ub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Unknown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55.7%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56.6%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48.5%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45.9%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67.3%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47.2%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31.0%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53.6%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73.1%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42.1%</w:t>
            </w:r>
          </w:p>
        </w:tc>
      </w:tr>
    </w:tbl>
    <w:p>
      <w:pPr>
        <w:numPr>
          <w:ilvl w:val="0"/>
          <w:numId w:val="1062"/>
        </w:numPr>
        <w:pStyle w:val="Compact"/>
      </w:pPr>
      <w:r>
        <w:rPr>
          <w:bCs/>
          <w:b/>
        </w:rPr>
        <w:t xml:space="preserve">Extensive vs intensive margin</w:t>
      </w:r>
      <w:r>
        <w:t xml:space="preserve"> </w:t>
      </w:r>
      <w:r>
        <w:t xml:space="preserve">(mean firm perf-grant ESG share, lb; Shapley-type split):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Δ mean 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2015-2017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-0.3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-0.1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-0.2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+0.8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+0.4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+0.3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2018-2021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+6.7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+7.2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-0.4 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2017-2021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+7.5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+7.4 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+0.1 pp</w:t>
            </w:r>
          </w:p>
        </w:tc>
      </w:tr>
    </w:tbl>
    <w:p>
      <w:pPr>
        <w:pStyle w:val="BodyText"/>
      </w:pPr>
      <w:r>
        <w:t xml:space="preserve">From 2018 to 2021 the mean share rises by +6.7 pp; +7.2 pp comes from more firms adopting (extensive margin) and -0.4 pp from higher intensity among adopters.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Pillars.</w:t>
      </w:r>
      <w:r>
        <w:t xml:space="preserve"> </w:t>
      </w:r>
      <w:r>
        <w:t xml:space="preserve">Social conditions, mainly safety and DEI, drive the level and the increase. Environmental and governance conditions are listed in the pillar table of §18.</w:t>
      </w:r>
      <w:r>
        <w:t xml:space="preserve"> </w:t>
      </w:r>
      <w:r>
        <w:t xml:space="preserve">6.</w:t>
      </w:r>
      <w:r>
        <w:t xml:space="preserve"> </w:t>
      </w:r>
      <w:r>
        <w:rPr>
          <w:bCs/>
          <w:b/>
        </w:rPr>
        <w:t xml:space="preserve">Coverage.</w:t>
      </w:r>
      <w:r>
        <w:t xml:space="preserve"> </w:t>
      </w:r>
      <w:r>
        <w:t xml:space="preserve">Classification coverage of performance grants (mean firm-level) is 0.61 in 1998, 0.73 in 2017, 0.74 in 2018 and 0.78 in 2021. There is no discontinuity at 2018.</w:t>
      </w:r>
    </w:p>
    <w:p>
      <w:pPr>
        <w:numPr>
          <w:ilvl w:val="0"/>
          <w:numId w:val="1063"/>
        </w:numPr>
        <w:pStyle w:val="Compact"/>
      </w:pPr>
      <w:r>
        <w:t xml:space="preserve">The pre-2018 text-availability problem (blank</w:t>
      </w:r>
      <w:r>
        <w:t xml:space="preserve"> </w:t>
      </w:r>
      <w:r>
        <w:rPr>
          <w:rStyle w:val="VerbatimChar"/>
        </w:rPr>
        <w:t xml:space="preserve">metricOther</w:t>
      </w:r>
      <w:r>
        <w:t xml:space="preserve">) mainly affects financial-label rows. These remain classifiable from the time-consistent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label.</w:t>
      </w:r>
    </w:p>
    <w:p>
      <w:pPr>
        <w:pStyle w:val="FirstParagraph"/>
      </w:pPr>
      <w:r>
        <w:t xml:space="preserve">These are descriptive measurement results, not causal effects.</w:t>
      </w:r>
    </w:p>
    <w:bookmarkEnd w:id="40"/>
    <w:bookmarkStart w:id="41" w:name="X14da1591e9cf8b3b4fbe2854bd2b2825da5a700"/>
    <w:p>
      <w:pPr>
        <w:pStyle w:val="Heading2"/>
      </w:pPr>
      <w:r>
        <w:t xml:space="preserve">20. Limitations and recommended research uses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Provisional labels.</w:t>
      </w:r>
      <w:r>
        <w:t xml:space="preserve"> </w:t>
      </w:r>
      <w:r>
        <w:t xml:space="preserve">Every label comes from the deterministic classifier v1.1. No adjudicated human reference labels exist yet, so</w:t>
      </w:r>
      <w:r>
        <w:t xml:space="preserve"> </w:t>
      </w:r>
      <w:r>
        <w:rPr>
          <w:bCs/>
          <w:b/>
        </w:rPr>
        <w:t xml:space="preserve">no accuracy statistic is reported</w:t>
      </w:r>
      <w:r>
        <w:t xml:space="preserve">. The blind validation sample (601 units, frozen under v1.0), the coding guideline and the scoring code are ready (§12).</w:t>
      </w:r>
    </w:p>
    <w:p>
      <w:pPr>
        <w:numPr>
          <w:ilvl w:val="1"/>
          <w:numId w:val="1065"/>
        </w:numPr>
        <w:pStyle w:val="Compact"/>
      </w:pPr>
      <w:r>
        <w:t xml:space="preserve">The human review queue (</w:t>
      </w:r>
      <w:r>
        <w:rPr>
          <w:rStyle w:val="VerbatimChar"/>
        </w:rPr>
        <w:t xml:space="preserve">Validation/human_review_queue_v1.1_local.csv</w:t>
      </w:r>
      <w:r>
        <w:t xml:space="preserve">, 1,001 frequent Unknown or conflicting units) can resolve many Unknowns.</w:t>
      </w:r>
    </w:p>
    <w:p>
      <w:pPr>
        <w:numPr>
          <w:ilvl w:val="1"/>
          <w:numId w:val="1065"/>
        </w:numPr>
        <w:pStyle w:val="Compact"/>
      </w:pPr>
      <w:r>
        <w:t xml:space="preserve">Adjudicated labels are applied by re-running Step 06 onward, which records</w:t>
      </w:r>
      <w:r>
        <w:t xml:space="preserve"> </w:t>
      </w:r>
      <w:r>
        <w:rPr>
          <w:rStyle w:val="VerbatimChar"/>
        </w:rPr>
        <w:t xml:space="preserve">human_reviewed</w:t>
      </w:r>
      <w:r>
        <w:t xml:space="preserve">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Wide Unknown band.</w:t>
      </w:r>
      <w:r>
        <w:t xml:space="preserve"> </w:t>
      </w:r>
      <w:r>
        <w:t xml:space="preserve">It comes from non-specific annual-bonus metrics.</w:t>
      </w:r>
    </w:p>
    <w:p>
      <w:pPr>
        <w:numPr>
          <w:ilvl w:val="1"/>
          <w:numId w:val="1066"/>
        </w:numPr>
        <w:pStyle w:val="Compact"/>
      </w:pPr>
      <w:r>
        <w:t xml:space="preserve">Use</w:t>
      </w:r>
      <w:r>
        <w:t xml:space="preserve"> </w:t>
      </w:r>
      <w:r>
        <w:rPr>
          <w:rStyle w:val="VerbatimChar"/>
        </w:rPr>
        <w:t xml:space="preserve">_lb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_ub</w:t>
      </w:r>
      <w:r>
        <w:t xml:space="preserve"> </w:t>
      </w:r>
      <w:r>
        <w:t xml:space="preserve">and coverage.</w:t>
      </w:r>
    </w:p>
    <w:p>
      <w:pPr>
        <w:numPr>
          <w:ilvl w:val="1"/>
          <w:numId w:val="1066"/>
        </w:numPr>
        <w:pStyle w:val="Compact"/>
      </w:pPr>
      <w:r>
        <w:t xml:space="preserve">Report complete-case estimates as a robustness check, or condition on</w:t>
      </w:r>
      <w:r>
        <w:t xml:space="preserve"> </w:t>
      </w:r>
      <w:r>
        <w:rPr>
          <w:rStyle w:val="VerbatimChar"/>
        </w:rPr>
        <w:t xml:space="preserve">*_esg_measurement_complete = 1</w:t>
      </w:r>
      <w:r>
        <w:t xml:space="preserve">.</w:t>
      </w:r>
    </w:p>
    <w:p>
      <w:pPr>
        <w:numPr>
          <w:ilvl w:val="1"/>
          <w:numId w:val="1066"/>
        </w:numPr>
        <w:pStyle w:val="Compact"/>
      </w:pPr>
      <w:r>
        <w:t xml:space="preserve">Never treat</w:t>
      </w:r>
      <w:r>
        <w:t xml:space="preserve"> </w:t>
      </w:r>
      <w:r>
        <w:rPr>
          <w:rStyle w:val="VerbatimChar"/>
        </w:rPr>
        <w:t xml:space="preserve">.</w:t>
      </w:r>
      <w:r>
        <w:t xml:space="preserve"> </w:t>
      </w:r>
      <w:r>
        <w:t xml:space="preserve">as 0.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Definitional choices</w:t>
      </w:r>
      <w:r>
        <w:t xml:space="preserve"> </w:t>
      </w:r>
      <w:r>
        <w:t xml:space="preserve">are documented and switchable:</w:t>
      </w:r>
    </w:p>
    <w:p>
      <w:pPr>
        <w:numPr>
          <w:ilvl w:val="1"/>
          <w:numId w:val="1067"/>
        </w:numPr>
        <w:pStyle w:val="Compact"/>
      </w:pPr>
      <w:r>
        <w:t xml:space="preserve">generic compliance/risk/cyber and generic talent/succession are excluded (</w:t>
      </w:r>
      <w:r>
        <w:rPr>
          <w:rStyle w:val="VerbatimChar"/>
        </w:rPr>
        <w:t xml:space="preserve">adjacent_flags</w:t>
      </w:r>
      <w:r>
        <w:t xml:space="preserve">);</w:t>
      </w:r>
    </w:p>
    <w:p>
      <w:pPr>
        <w:numPr>
          <w:ilvl w:val="1"/>
          <w:numId w:val="1067"/>
        </w:numPr>
        <w:pStyle w:val="Compact"/>
      </w:pPr>
      <w:r>
        <w:t xml:space="preserve">customer service reliability is Extended-only;</w:t>
      </w:r>
    </w:p>
    <w:p>
      <w:pPr>
        <w:numPr>
          <w:ilvl w:val="1"/>
          <w:numId w:val="1067"/>
        </w:numPr>
        <w:pStyle w:val="Compact"/>
      </w:pPr>
      <w:r>
        <w:t xml:space="preserve">renewable business-line execution is excluded.</w:t>
      </w:r>
    </w:p>
    <w:p>
      <w:pPr>
        <w:numPr>
          <w:ilvl w:val="0"/>
          <w:numId w:val="1000"/>
        </w:numPr>
      </w:pPr>
      <w:r>
        <w:t xml:space="preserve">Researchers who prefer other boundaries can re-define them using</w:t>
      </w:r>
      <w:r>
        <w:t xml:space="preserve"> </w:t>
      </w:r>
      <w:r>
        <w:rPr>
          <w:rStyle w:val="VerbatimChar"/>
        </w:rPr>
        <w:t xml:space="preserve">esg_topics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adjacent_flags</w:t>
      </w:r>
      <w:r>
        <w:t xml:space="preserve"> </w:t>
      </w:r>
      <w:r>
        <w:t xml:space="preserve">in Dataset A.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No ESG-attributable value.</w:t>
      </w:r>
      <w:r>
        <w:t xml:space="preserve"> </w:t>
      </w:r>
      <w:r>
        <w:t xml:space="preserve">The value-share measures are exposure measures: the value of grants</w:t>
      </w:r>
      <w:r>
        <w:t xml:space="preserve"> </w:t>
      </w:r>
      <w:r>
        <w:rPr>
          <w:iCs/>
          <w:i/>
        </w:rPr>
        <w:t xml:space="preserve">containing</w:t>
      </w:r>
      <w:r>
        <w:t xml:space="preserve"> </w:t>
      </w:r>
      <w:r>
        <w:t xml:space="preserve">ESG conditions.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CEO identification</w:t>
      </w:r>
      <w:r>
        <w:t xml:space="preserve"> </w:t>
      </w:r>
      <w:r>
        <w:t xml:space="preserve">relies on ISS</w:t>
      </w:r>
      <w:r>
        <w:t xml:space="preserve"> </w:t>
      </w:r>
      <w:r>
        <w:rPr>
          <w:rStyle w:val="VerbatimChar"/>
        </w:rPr>
        <w:t xml:space="preserve">currentCEO</w:t>
      </w:r>
      <w:r>
        <w:t xml:space="preserve">. Co-CEO and succession years are kept in the exception table, not resolved.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Software.</w:t>
      </w:r>
      <w:r>
        <w:t xml:space="preserve"> </w:t>
      </w:r>
      <w:r>
        <w:t xml:space="preserve">Datasets are built in Python (pandas) and written as labelled Stata 118</w:t>
      </w:r>
      <w:r>
        <w:t xml:space="preserve"> </w:t>
      </w:r>
      <w:r>
        <w:rPr>
          <w:rStyle w:val="VerbatimChar"/>
        </w:rPr>
        <w:t xml:space="preserve">.dta</w:t>
      </w:r>
      <w:r>
        <w:t xml:space="preserve"> </w:t>
      </w:r>
      <w:r>
        <w:t xml:space="preserve">files (accepted by the user). Stata</w:t>
      </w:r>
      <w:r>
        <w:t xml:space="preserve"> </w:t>
      </w:r>
      <w:r>
        <w:rPr>
          <w:rStyle w:val="VerbatimChar"/>
        </w:rPr>
        <w:t xml:space="preserve">.do</w:t>
      </w:r>
      <w:r>
        <w:t xml:space="preserve"> </w:t>
      </w:r>
      <w:r>
        <w:t xml:space="preserve">versions were not produced because Stata is not available in the build environment.</w:t>
      </w:r>
    </w:p>
    <w:p>
      <w:pPr>
        <w:numPr>
          <w:ilvl w:val="0"/>
          <w:numId w:val="1064"/>
        </w:numPr>
      </w:pPr>
      <w:r>
        <w:rPr>
          <w:bCs/>
          <w:b/>
        </w:rPr>
        <w:t xml:space="preserve">Licensing.</w:t>
      </w:r>
      <w:r>
        <w:t xml:space="preserve"> </w:t>
      </w:r>
      <w:r>
        <w:t xml:space="preserve">ISS data and any file containing ISS text are git-ignored and must not be redistributed: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*_local.csv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Dictionaries/local/</w:t>
      </w:r>
      <w:r>
        <w:t xml:space="preserve">,</w:t>
      </w:r>
      <w:r>
        <w:t xml:space="preserve"> </w:t>
      </w:r>
      <w:r>
        <w:rPr>
          <w:rStyle w:val="VerbatimChar"/>
        </w:rPr>
        <w:t xml:space="preserve">*_local.docx</w:t>
      </w:r>
      <w:r>
        <w:t xml:space="preserve">.</w:t>
      </w:r>
    </w:p>
    <w:p>
      <w:pPr>
        <w:pStyle w:val="FirstParagraph"/>
      </w:pPr>
      <w:r>
        <w:rPr>
          <w:bCs/>
          <w:b/>
        </w:rPr>
        <w:t xml:space="preserve">Recommended primary variables (firm-year):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firm_perf_esg_adopt_strict</w:t>
      </w:r>
      <w:r>
        <w:t xml:space="preserve">;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firm_esg_perf_share_lb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_ub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firm_perf_class_coverage</w:t>
      </w:r>
      <w:r>
        <w:t xml:space="preserve">);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firm_esg_kpi_share_lb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_ub</w:t>
      </w:r>
      <w:r>
        <w:t xml:space="preserve">;</w:t>
      </w:r>
    </w:p>
    <w:p>
      <w:pPr>
        <w:numPr>
          <w:ilvl w:val="0"/>
          <w:numId w:val="1068"/>
        </w:numPr>
        <w:pStyle w:val="Compact"/>
      </w:pPr>
      <w:r>
        <w:rPr>
          <w:rStyle w:val="VerbatimChar"/>
        </w:rPr>
        <w:t xml:space="preserve">firm_esg_[e|s|g]_adopt</w:t>
      </w:r>
      <w:r>
        <w:t xml:space="preserve">;</w:t>
      </w:r>
    </w:p>
    <w:p>
      <w:pPr>
        <w:numPr>
          <w:ilvl w:val="0"/>
          <w:numId w:val="1068"/>
        </w:numPr>
        <w:pStyle w:val="Compact"/>
      </w:pPr>
      <w:r>
        <w:t xml:space="preserve">the Extended counterparts and the cash / equity split as robustness checks.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61">
    <w:abstractNumId w:val="991"/>
  </w:num>
  <w:num w:numId="106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2026-10-31T16:56:55Z</dcterms:created>
  <dcterms:modified xsi:type="dcterms:W3CDTF">2026-10-31T16:56:55Z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