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Review Findings and Changes — v1.1</w:t>
      </w:r>
    </w:p>
    <w:p>
      <w:pPr>
        <w:spacing w:after="100"/>
      </w:pPr>
      <w:r>
        <w:rPr>
          <w:rFonts w:ascii="Calibri" w:cs="Calibri" w:eastAsia="Microsoft YaHei" w:hAnsi="Calibri"/>
          <w:i/>
          <w:iCs/>
          <w:color w:val="595959"/>
        </w:rPr>
        <w:t xml:space="preserve">版本复审与修改报告（v1.0 → v1.1；自动生成）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Classifier version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2026-10-31 16:56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dd6c450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 status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PROVISIONAL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Project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ESG_Text_Based_Incentives (ISS Incentive Lab 1998-2021)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1. 为什么要出新版本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v1.0 完成后，对全部任务要求、代码、规则与文档做了一次全面复审：逐条规则对照真实文本，逐个聚合公式对照定义，并检查验证代码、Stata 导出与文档中的每个数字。复审共形成 25 条发现，全部在 v1.1 修正；随后又做了独立多角度代码审查，确认的问题同样修正。原则不变：同一套规则用于所有年份，不为消除 2018 年断点调整标准。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2. 发现清单（每条：发现了什么、证据/影响、如何修正）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"/>
        <w:gridCol w:w="794"/>
        <w:gridCol w:w="596"/>
        <w:gridCol w:w="2682"/>
        <w:gridCol w:w="1987"/>
        <w:gridCol w:w="2384"/>
        <w:gridCol w:w="699"/>
      </w:tblGrid>
      <w:tr>
        <w:trPr>
          <w:tblHeader/>
        </w:trP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finding_id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area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severity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finding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evidence_or_impact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fix_in_v1.1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3"/>
                <w:szCs w:val="13"/>
              </w:rPr>
              <w:t xml:space="preserve">status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R01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Bare 'governance' was Strict G, contrary to task brief 4.3 (governance must be specific)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30 units / 148 goal rows lose G=1 in v1.1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Strict G only for corporate governance, board, shareholder rights, say-on-pay, governance ratings; bare 'governance' -&gt; Unknown (A_governance_bare)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R02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ESG business lines (MSCI 'ESG segments net new sales', 'ESG-Dedicated AUM') were Strict ESG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 units / 14 goal rows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J_esg_business_line -&gt; 0/0 flagged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R03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'Customer Engagement Index' was Strict S via the employee 'engagement index' rule; 'Customer/Partner Engagement' was Strict S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 units / 26 goal rows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customer/patient/member engagement routed to Extended first; 'partner' removed from employee nouns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R04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Worker radiation dose (nuclear), loss of containment, 'LCEs', 'Retention ... of high potential employees', 'Employee one-year retention' were Unknown (false negatives)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17 units / 177 goal rows move Unknown -&gt; Strict 1 in total (all new rules)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rules added (S_ohs, S_human_capital, S_access_inclusion ...)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R05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Spurious Unknowns: discretionary cash flow, insurance 'Individual Markets/Life' lines, strategic diversification, balance sheet, CASM/RASM, dayrates, clinical dose milestones, community count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372 units / 2990 goal rows move Unknown -&gt; 0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non-ESG vocabulary and masks extended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R06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'Satisfaction of strategic sales goals' (fulfilment) was Extended (customer satisfaction)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5 units / 17 goal rows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mask 'satisfaction of'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R07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Community Reinvestment Act results were only Extended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 units / 14 goal rows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S_access_inclusion (Strict S)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R08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Government relations were Extended (stakeholder); lobbying is not an ESG performance outcome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11 units / 51 goal rows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J_public_affairs -&gt; 0/0 flagged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R09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'mental health' lacked a word boundary (matched inside 'environmental health'); 'diverse' lacked one (Diversey)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no label changed in data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word boundaries added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logic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Pillar label set to 0 although an ambiguous word for that pillar was present (e.g. 'Safety and Governance' -&gt; G=0)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pillars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pillar-specific ambiguous hit leaves the pillar Unknown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R11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logic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esg_extended_only = 1 when Strict was Unknown and Extended = 1 (should be Unknown)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22 units / 103 goal rows in v1.0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extended_only() helper used everywhere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R12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logic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E/S/G adoption required ALL performance grants to be non-ESG for a 0; a firm with only S conditions got E = Unknown instead of 0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pillar adoption at every level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pillar adoption = 0 when every performance grant has pillar = 0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R13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logic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E/S/G grant and KPI shares were published as exact although they are lower bounds (general ESG terms leave pillars unresolved)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all pillar shares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exact only when every pillar label is known, plus _lb/_ub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R14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data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144 duplicated grantIDs had conflicting performancetype ('Abs' and 'Time'; 3 also 'Rel'); v1.0 kept the first row by accident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141 grants with goal data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type resolved from goal data (Abs/Rel/AbsRel), flagged grant_dup_resolved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R15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data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Grants whose declared number of objectives exceeds recorded objectives were classified 0 although the missing objectives could be ESG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362 grants (16 previously 0)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grant_goal_data_incomplete flag; ESG Unknown unless an ESG KPI is present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R16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measure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Value share used grant-date fair value only, which is missing for 98.6% of cash-incentive awards (ISS stores their target payout in nonEquityTarget); ESG sits mostly in annual cash plans, so exposure was understated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all value-share variables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grant_value_combined = fair value, else non-equity target payout; value_source flagged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R17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measure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Counts were missing (not 0) for CEOs and firm-years without grants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2,459 CEO rows; 776 firm-years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fill_counts(): counts 0, measures stay missing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R18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analysis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Balanced panel selected firms whose adoption was KNOWN every year (selection on the outcome; 40% adoption)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annual analysis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balanced panel = firms with performance grants every year 2015-2021; lb/cc/ub reported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R19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validation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Scoring code had never been executed: 'U' labels broke numeric comparisons, joins used version-specific text_id, bootstrap ignored strata, kappa mishandled missing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validation step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humanlabels.py (1/0/U parsing, sample_id/text_key joins), stratified bootstrap, kappa with Unknown category; tested on synthetic labels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R20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reproducibility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text_id was a sequence number (changes when units change); the frozen sample existed only in a local file with ISS text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ids / sample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text_id = SHA-1 hash of text_key; pushable id list validation_sample_v1.0_ids.csv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R21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documentation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Methodology report numbers were hand-typed (would go stale after any data update); several variable definitions were blank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docs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report generated from current outputs (Step 18); every variable defined (Step 15)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R22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transparency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low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No independent check of the AGHJ implementation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approximate replication of AGHJ Table 1 (Validation/e_paper_replication_benchmark.csv)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R23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data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Stata export forced latin-1 and replaced non-latin-1 characters (e.g. ’ —) with '?' in every string variable (found by the v1.1 audit: text_id hash check failed)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418 text units had altered text in the v1.0 .dta files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write UTF-8 (Stata 118 native); audit verifies text_key round-trips exactly (hash check)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R24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development check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high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Caught BEFORE release: in the rewritten aggregation the helper count for pillar S shared a name with the Strict count, so S adoption equalled Strict adoption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found by inspecting v1.1 outputs (S adoption = Strict adoption in every year)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distinct helper names + assertion against duplicates; audit re-derives E, S and G adoption and shares from grants and guards S != Strict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  <w:tr>
        <w:tc>
          <w:tcPr>
            <w:tcW w:type="dxa" w:w="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R25</w:t>
            </w:r>
          </w:p>
        </w:tc>
        <w:tc>
          <w:tcPr>
            <w:tcW w:type="dxa" w:w="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development check</w:t>
            </w:r>
          </w:p>
        </w:tc>
        <w:tc>
          <w:tcPr>
            <w:tcW w:type="dxa" w:w="5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medium</w:t>
            </w:r>
          </w:p>
        </w:tc>
        <w:tc>
          <w:tcPr>
            <w:tcW w:type="dxa" w:w="2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Caught BEFORE release by reviewing every changed unit: 'work environment' fell to the Environmental rule; 'placement' matched inside 'replacement'; specific board-governance phrases became Unknown</w:t>
            </w:r>
          </w:p>
        </w:tc>
        <w:tc>
          <w:tcPr>
            <w:tcW w:type="dxa" w:w="1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about 10 units</w:t>
            </w:r>
          </w:p>
        </w:tc>
        <w:tc>
          <w:tcPr>
            <w:tcW w:type="dxa" w:w="23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'work environment' -&gt; Social; word boundaries; board-governance phrasing rule</w:t>
            </w:r>
          </w:p>
        </w:tc>
        <w:tc>
          <w:tcPr>
            <w:tcW w:type="dxa" w:w="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3"/>
                <w:szCs w:val="13"/>
              </w:rPr>
              <w:t xml:space="preserve">fixed in v1.1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3. 标签变化（文本单元层面）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469 个分类单元（3,678 条目标记录）至少一个标签改变。主要变化类型：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22"/>
        <w:gridCol w:w="1807"/>
        <w:gridCol w:w="2209"/>
      </w:tblGrid>
      <w:tr>
        <w:trPr>
          <w:tblHeader/>
        </w:trP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change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units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goal_rows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U-&gt;0; ext U-&gt;0; E/S/G UUU-&gt;000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362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2,903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0-&gt;1; ext 0-&gt;1; E/S/G 000-&gt;010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189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U-&gt;1; ext U-&gt;1; E/S/G UUU-&gt;010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175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1-&gt;U; ext 1-&gt;U; E/S/G 001-&gt;UUU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124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U-&gt;0; ext U-&gt;1; E/S/G UUU-&gt;000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82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0-&gt;0; ext 1-&gt;0; E/S/G 000-&gt;000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0-&gt;1; ext 1-&gt;1; E/S/G 000-&gt;010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1-&gt;1; ext 1-&gt;1; E/S/G 100-&gt;1U0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1-&gt;0; ext 1-&gt;1; E/S/G 010-&gt;000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1-&gt;0; ext 1-&gt;0; E/S/G UUU-&gt;000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1-&gt;U; ext 1-&gt;1; E/S/G 001-&gt;UUU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</w:tr>
      <w:tr>
        <w:tc>
          <w:tcPr>
            <w:tcW w:type="dxa" w:w="56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strict 0-&gt;U; ext 1-&gt;U; E/S/G 000-&gt;UUU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Strict 标签迁移矩阵（按目标记录加权）：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Strict v1.0 \ v1.1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U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664947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47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29722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137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U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2990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177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115844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4. 对主要结果的影响（公司-年，业绩型 grant，下界）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8"/>
      </w:tblGrid>
      <w:tr>
        <w:trPr>
          <w:tblHeader/>
        </w:trP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FY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Adopt lb v1.0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Adopt lb v1.1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S lb v1.0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S lb v1.1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G lb v1.0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G lb v1.1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Value share v1.0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Value share v1.1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1998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2008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10.4%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10.4%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1.2%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4.7%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2015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0.8%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5.9%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2017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1.4%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5.4%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15.5%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15.4%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1.6%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6.1%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2020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17.3%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17.4%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1.3%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2.5%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8.1%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2021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30.4%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30.4%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25.0%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25.0%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4.1%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11.7%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价值占比变化主要来自 R16：现金奖励在 ISS 中没有授予日公允价值，v1.0 因此把大部分现金奖金排除在价值分母之外；v1.1 对现金奖励使用非股权目标支付额。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5. 如何核对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每个变化单元（含原文）：Validation/version_changed_units_v1.0_to_v1.1_local.csv（仅本地）。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按变化类型汇总：Documentation/version_comparison_v1.0_to_v1.1_change_types.csv；迁移矩阵：…_label_transitions.csv；年度对比：…_firm_annual.csv。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规则级修改：Dictionaries/b_revised_rules_v1.1.csv 的 version_change 列；决策记录：Dictionaries/c_change_log.csv。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v1.0 的全部成品保存在 Data/Intermediate/snapshot_v1.0/，可随时复算对比。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Review and Changes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•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Findings and Changes — v1.1</dc:title>
  <dc:creator>ESG_Text_Based_Incentives pipeline</dc:creator>
  <cp:lastModifiedBy>Un-named</cp:lastModifiedBy>
  <cp:revision>1</cp:revision>
  <dcterms:created xsi:type="dcterms:W3CDTF">2026-10-31T16:56:56.656Z</dcterms:created>
  <dcterms:modified xsi:type="dcterms:W3CDTF">2026-10-31T16:56:56.656Z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