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20"/>
        <w:jc w:val="center"/>
      </w:pPr>
      <w:r>
        <w:rPr>
          <w:rFonts w:ascii="Calibri" w:hAnsi="Calibri" w:eastAsia="PingFang SC"/>
          <w:b/>
          <w:color w:val="2E74B5"/>
          <w:sz w:val="20"/>
        </w:rPr>
        <w:t>SYSTEM DELIVERY GUIDE</w:t>
      </w:r>
    </w:p>
    <w:p>
      <w:pPr>
        <w:spacing w:after="160"/>
        <w:jc w:val="center"/>
      </w:pPr>
      <w:r>
        <w:rPr>
          <w:rFonts w:ascii="Calibri" w:hAnsi="Calibri" w:eastAsia="PingFang SC"/>
          <w:b/>
          <w:color w:val="1F4D78"/>
          <w:sz w:val="56"/>
        </w:rPr>
        <w:t>做市表格实时监控系统</w:t>
      </w:r>
    </w:p>
    <w:p>
      <w:pPr>
        <w:spacing w:after="520"/>
        <w:jc w:val="center"/>
      </w:pPr>
      <w:r>
        <w:rPr>
          <w:rFonts w:ascii="Calibri" w:hAnsi="Calibri" w:eastAsia="PingFang SC"/>
          <w:color w:val="5D6D7E"/>
          <w:sz w:val="32"/>
        </w:rPr>
        <w:t>完整交付说明与备份恢复手册</w:t>
      </w:r>
    </w:p>
    <w:p>
      <w:pPr>
        <w:spacing w:after="100"/>
        <w:jc w:val="center"/>
      </w:pPr>
      <w:r>
        <w:rPr>
          <w:rFonts w:ascii="Calibri" w:hAnsi="Calibri" w:eastAsia="PingFang SC"/>
          <w:b/>
          <w:color w:val="17202A"/>
          <w:sz w:val="24"/>
        </w:rPr>
        <w:t>版本  V3.2</w:t>
      </w:r>
    </w:p>
    <w:p>
      <w:pPr>
        <w:spacing w:after="100"/>
        <w:jc w:val="center"/>
      </w:pPr>
      <w:r>
        <w:rPr>
          <w:rFonts w:ascii="Calibri" w:hAnsi="Calibri" w:eastAsia="PingFang SC"/>
          <w:color w:val="5D6D7E"/>
          <w:sz w:val="22"/>
        </w:rPr>
        <w:t>交付日期  2026-08-16</w:t>
      </w:r>
    </w:p>
    <w:p>
      <w:pPr>
        <w:spacing w:after="900"/>
        <w:jc w:val="center"/>
      </w:pPr>
      <w:r>
        <w:rPr>
          <w:rFonts w:ascii="Calibri" w:hAnsi="Calibri" w:eastAsia="PingFang SC"/>
          <w:color w:val="5D6D7E"/>
          <w:sz w:val="21"/>
        </w:rPr>
        <w:t>运行环境  macOS · WPS Office · Python · 本地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  <w:tcBorders>
              <w:top w:val="single" w:sz="6" w:color="D8C47A"/>
              <w:left w:val="single" w:sz="6" w:color="D8C47A"/>
              <w:bottom w:val="single" w:sz="6" w:color="D8C47A"/>
              <w:right w:val="single" w:sz="6" w:color="D8C47A"/>
              <w:insideH w:val="single" w:sz="6" w:color="D8C47A"/>
              <w:insideV w:val="single" w:sz="6" w:color="D8C47A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C6B46"/>
                <w:sz w:val="21"/>
              </w:rPr>
              <w:t xml:space="preserve">交付结论  </w:t>
            </w:r>
            <w:r>
              <w:rPr>
                <w:rFonts w:ascii="Calibri" w:hAnsi="Calibri" w:eastAsia="PingFang SC"/>
                <w:color w:val="17202A"/>
                <w:sz w:val="21"/>
              </w:rPr>
              <w:t>工程根目录是 /Users/xingxiu/Desktop/MM表格数据汇报；完整业务备份还必须包含桌面上的已注册 Excel 工作簿。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t>本文档用于系统交付、日常运行、数据口径确认、故障定位、备份与恢复。它描述的是 2026-08-16 当前本机已实现版本，不是初始开发设想。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系统名称：</w:t>
      </w:r>
      <w:r>
        <w:rPr>
          <w:rFonts w:ascii="Calibri" w:hAnsi="Calibri" w:eastAsia="PingFang SC"/>
          <w:color w:val="17202A"/>
        </w:rPr>
        <w:t>做市表格实时监控系统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应用版本：</w:t>
      </w:r>
      <w:r>
        <w:rPr>
          <w:rFonts w:ascii="Calibri" w:hAnsi="Calibri" w:eastAsia="PingFang SC"/>
          <w:color w:val="17202A"/>
        </w:rPr>
        <w:t>V3.2.0（FastAPI 应用版本）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工程根目录：</w:t>
      </w:r>
      <w:r>
        <w:rPr>
          <w:rFonts w:ascii="Calibri" w:hAnsi="Calibri" w:eastAsia="PingFang SC"/>
          <w:color w:val="17202A"/>
        </w:rPr>
        <w:t>/Users/xingxiu/Desktop/MM表格数据汇报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看板地址：</w:t>
      </w:r>
      <w:r>
        <w:rPr>
          <w:rFonts w:ascii="Calibri" w:hAnsi="Calibri" w:eastAsia="PingFang SC"/>
          <w:color w:val="17202A"/>
        </w:rPr>
        <w:t>http://127.0.0.1:8765</w:t>
      </w:r>
    </w:p>
    <w:p>
      <w:pPr>
        <w:spacing w:after="60"/>
      </w:pPr>
      <w:r>
        <w:rPr>
          <w:rFonts w:ascii="Calibri" w:hAnsi="Calibri" w:eastAsia="PingFang SC"/>
          <w:b/>
          <w:color w:val="1F4D78"/>
        </w:rPr>
        <w:t>API 文档：</w:t>
      </w:r>
      <w:r>
        <w:rPr>
          <w:rFonts w:ascii="Calibri" w:hAnsi="Calibri" w:eastAsia="PingFang SC"/>
          <w:color w:val="17202A"/>
        </w:rPr>
        <w:t>http://127.0.0.1:8765/docs</w:t>
      </w:r>
    </w:p>
    <w:p>
      <w:pPr>
        <w:pStyle w:val="Heading2"/>
      </w:pPr>
      <w:r>
        <w:t>目录</w:t>
      </w:r>
    </w:p>
    <w:p>
      <w:pPr>
        <w:spacing w:after="80" w:line="300" w:lineRule="auto"/>
        <w:numPr>
          <w:ilvl w:val="0"/>
          <w:numId w:val="12"/>
        </w:numPr>
      </w:pPr>
      <w:r>
        <w:t>交付范围与备份边界</w:t>
      </w:r>
    </w:p>
    <w:p>
      <w:pPr>
        <w:spacing w:after="80" w:line="300" w:lineRule="auto"/>
        <w:numPr>
          <w:ilvl w:val="0"/>
          <w:numId w:val="12"/>
        </w:numPr>
      </w:pPr>
      <w:r>
        <w:t>系统目标与总体架构</w:t>
      </w:r>
    </w:p>
    <w:p>
      <w:pPr>
        <w:spacing w:after="80" w:line="300" w:lineRule="auto"/>
        <w:numPr>
          <w:ilvl w:val="0"/>
          <w:numId w:val="12"/>
        </w:numPr>
      </w:pPr>
      <w:r>
        <w:t>工程目录与关键文件</w:t>
      </w:r>
    </w:p>
    <w:p>
      <w:pPr>
        <w:spacing w:after="80" w:line="300" w:lineRule="auto"/>
        <w:numPr>
          <w:ilvl w:val="0"/>
          <w:numId w:val="12"/>
        </w:numPr>
      </w:pPr>
      <w:r>
        <w:t>数据采集与监控模式</w:t>
      </w:r>
    </w:p>
    <w:p>
      <w:pPr>
        <w:spacing w:after="80" w:line="300" w:lineRule="auto"/>
        <w:numPr>
          <w:ilvl w:val="0"/>
          <w:numId w:val="12"/>
        </w:numPr>
      </w:pPr>
      <w:r>
        <w:t>数据口径与计算规则</w:t>
      </w:r>
    </w:p>
    <w:p>
      <w:pPr>
        <w:spacing w:after="80" w:line="300" w:lineRule="auto"/>
        <w:numPr>
          <w:ilvl w:val="0"/>
          <w:numId w:val="12"/>
        </w:numPr>
      </w:pPr>
      <w:r>
        <w:t>检测任务与报告</w:t>
      </w:r>
    </w:p>
    <w:p>
      <w:pPr>
        <w:spacing w:after="80" w:line="300" w:lineRule="auto"/>
        <w:numPr>
          <w:ilvl w:val="0"/>
          <w:numId w:val="12"/>
        </w:numPr>
      </w:pPr>
      <w:r>
        <w:t>GPT 数据对话</w:t>
      </w:r>
    </w:p>
    <w:p>
      <w:pPr>
        <w:spacing w:after="80" w:line="300" w:lineRule="auto"/>
        <w:numPr>
          <w:ilvl w:val="0"/>
          <w:numId w:val="12"/>
        </w:numPr>
      </w:pPr>
      <w:r>
        <w:t>页面功能说明</w:t>
      </w:r>
    </w:p>
    <w:p>
      <w:pPr>
        <w:spacing w:after="80" w:line="300" w:lineRule="auto"/>
        <w:numPr>
          <w:ilvl w:val="0"/>
          <w:numId w:val="12"/>
        </w:numPr>
      </w:pPr>
      <w:r>
        <w:t>启动、停止与日常操作</w:t>
      </w:r>
    </w:p>
    <w:p>
      <w:pPr>
        <w:spacing w:after="80" w:line="300" w:lineRule="auto"/>
        <w:numPr>
          <w:ilvl w:val="0"/>
          <w:numId w:val="12"/>
        </w:numPr>
      </w:pPr>
      <w:r>
        <w:t>备份与恢复</w:t>
      </w:r>
    </w:p>
    <w:p>
      <w:pPr>
        <w:spacing w:after="80" w:line="300" w:lineRule="auto"/>
        <w:numPr>
          <w:ilvl w:val="0"/>
          <w:numId w:val="12"/>
        </w:numPr>
      </w:pPr>
      <w:r>
        <w:t>接口、数据库与安全</w:t>
      </w:r>
    </w:p>
    <w:p>
      <w:pPr>
        <w:spacing w:after="80" w:line="300" w:lineRule="auto"/>
        <w:numPr>
          <w:ilvl w:val="0"/>
          <w:numId w:val="12"/>
        </w:numPr>
      </w:pPr>
      <w:r>
        <w:t>验收、限制与故障排查</w:t>
      </w:r>
    </w:p>
    <w:p>
      <w:pPr>
        <w:pStyle w:val="Heading1"/>
      </w:pPr>
      <w:r>
        <w:t>1. 交付范围与备份边界</w:t>
      </w:r>
    </w:p>
    <w:p>
      <w:r>
        <w:t>系统可以在工程目录中运行，但“完整可恢复备份”不等于只复制工程目录。当前项目注册表中有两份业务工作簿位于桌面根目录，它们是系统的数据源。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5750"/>
        <w:gridCol w:w="18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类别</w:t>
            </w:r>
          </w:p>
        </w:tc>
        <w:tc>
          <w:tcPr>
            <w:tcW w:type="dxa" w:w="5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当前路径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是否必须备份</w:t>
            </w:r>
          </w:p>
        </w:tc>
      </w:tr>
      <w:tr>
        <w:tc>
          <w:tcPr>
            <w:tcW w:type="dxa" w:w="1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系统工程</w:t>
            </w:r>
          </w:p>
        </w:tc>
        <w:tc>
          <w:tcPr>
            <w:tcW w:type="dxa" w:w="5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/Users/xingxiu/Desktop/MM表格数据汇报</w:t>
            </w:r>
          </w:p>
        </w:tc>
        <w:tc>
          <w:tcPr>
            <w:tcW w:type="dxa" w:w="1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必须</w:t>
            </w:r>
          </w:p>
        </w:tc>
      </w:tr>
      <w:tr>
        <w:tc>
          <w:tcPr>
            <w:tcW w:type="dxa" w:w="1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APR 业务表格</w:t>
            </w:r>
          </w:p>
        </w:tc>
        <w:tc>
          <w:tcPr>
            <w:tcW w:type="dxa" w:w="5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/Users/xingxiu/Desktop/APR_做市实时表_V3_美化版.xlsx</w:t>
            </w:r>
          </w:p>
        </w:tc>
        <w:tc>
          <w:tcPr>
            <w:tcW w:type="dxa" w:w="1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必须</w:t>
            </w:r>
          </w:p>
        </w:tc>
      </w:tr>
      <w:tr>
        <w:tc>
          <w:tcPr>
            <w:tcW w:type="dxa" w:w="1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Fight 业务表格</w:t>
            </w:r>
          </w:p>
        </w:tc>
        <w:tc>
          <w:tcPr>
            <w:tcW w:type="dxa" w:w="5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/Users/xingxiu/Desktop/Fight打野.xlsx</w:t>
            </w:r>
          </w:p>
        </w:tc>
        <w:tc>
          <w:tcPr>
            <w:tcW w:type="dxa" w:w="1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必须（当前已注册）</w:t>
            </w:r>
          </w:p>
        </w:tc>
      </w:tr>
      <w:tr>
        <w:tc>
          <w:tcPr>
            <w:tcW w:type="dxa" w:w="1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WPS 加载项登记</w:t>
            </w:r>
          </w:p>
        </w:tc>
        <w:tc>
          <w:tcPr>
            <w:tcW w:type="dxa" w:w="5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~/Library/Containers/com.kingsoft.wpsoffice.mac/Data/.kingsoft/wps/jsaddons/publish.xml</w:t>
            </w:r>
          </w:p>
        </w:tc>
        <w:tc>
          <w:tcPr>
            <w:tcW w:type="dxa" w:w="1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建议备份；也可重新安装</w:t>
            </w:r>
          </w:p>
        </w:tc>
      </w:tr>
      <w:tr>
        <w:tc>
          <w:tcPr>
            <w:tcW w:type="dxa" w:w="1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OpenAI API Key</w:t>
            </w:r>
          </w:p>
        </w:tc>
        <w:tc>
          <w:tcPr>
            <w:tcW w:type="dxa" w:w="57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macOS 钥匙串：APRMonitorOpenAI</w:t>
            </w:r>
          </w:p>
        </w:tc>
        <w:tc>
          <w:tcPr>
            <w:tcW w:type="dxa" w:w="1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不会随文件复制；需单独重新配置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  <w:tcBorders>
              <w:top w:val="single" w:sz="6" w:color="D8C47A"/>
              <w:left w:val="single" w:sz="6" w:color="D8C47A"/>
              <w:bottom w:val="single" w:sz="6" w:color="D8C47A"/>
              <w:right w:val="single" w:sz="6" w:color="D8C47A"/>
              <w:insideH w:val="single" w:sz="6" w:color="D8C47A"/>
              <w:insideV w:val="single" w:sz="6" w:color="D8C47A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  <w:sz w:val="21"/>
              </w:rPr>
              <w:t xml:space="preserve">重要  </w:t>
            </w:r>
            <w:r>
              <w:rPr>
                <w:rFonts w:ascii="Calibri" w:hAnsi="Calibri" w:eastAsia="PingFang SC"/>
                <w:color w:val="17202A"/>
                <w:sz w:val="21"/>
              </w:rPr>
              <w:t>若只复制 MM表格数据汇报 文件夹而未复制桌面上的业务表格，程序文件和历史数据库仍在，但无法继续读取原始业务数据。</w:t>
            </w:r>
          </w:p>
        </w:tc>
      </w:tr>
    </w:tbl>
    <w:p>
      <w:pPr>
        <w:spacing w:after="0"/>
      </w:pPr>
    </w:p>
    <w:p>
      <w:pPr>
        <w:pStyle w:val="Heading1"/>
      </w:pPr>
      <w:r>
        <w:t>2. 系统目标与总体架构</w:t>
      </w:r>
    </w:p>
    <w:p>
      <w:r>
        <w:t>本系统是 WPS Excel 的只读旁路监控。WPS 仍是唯一业务录入入口；系统不回写单元格、不替用户保存、不关闭工作簿，也不锁定文件。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200"/>
        <w:gridCol w:w="2100"/>
        <w:gridCol w:w="1500"/>
        <w:gridCol w:w="2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数据源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处理层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存储层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服务层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使用层</w:t>
            </w:r>
          </w:p>
        </w:tc>
      </w:tr>
      <w:tr>
        <w:tc>
          <w:tcPr>
            <w:tcW w:type="dxa" w:w="1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WPS 内存 / 已保存 xlsx</w:t>
            </w:r>
          </w:p>
        </w:tc>
        <w:tc>
          <w:tcPr>
            <w:tcW w:type="dxa" w:w="2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结构解析、稳定窗口、成本与收益引擎</w:t>
            </w:r>
          </w:p>
        </w:tc>
        <w:tc>
          <w:tcPr>
            <w:tcW w:type="dxa" w:w="21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 SQLite + 检测任务库 + 备份</w:t>
            </w:r>
          </w:p>
        </w:tc>
        <w:tc>
          <w:tcPr>
            <w:tcW w:type="dxa" w:w="1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FastAPI 本地接口</w:t>
            </w:r>
          </w:p>
        </w:tc>
        <w:tc>
          <w:tcPr>
            <w:tcW w:type="dxa" w:w="2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监控看板 / GPT 对话 / 检测报告</w:t>
            </w:r>
          </w:p>
        </w:tc>
      </w:tr>
    </w:tbl>
    <w:p>
      <w:pPr>
        <w:spacing w:after="0"/>
      </w:pPr>
    </w:p>
    <w:p>
      <w:pPr>
        <w:pStyle w:val="Heading2"/>
      </w:pPr>
      <w:r>
        <w:t>核心设计原则</w:t>
      </w:r>
    </w:p>
    <w:p>
      <w:pPr>
        <w:spacing w:after="80" w:line="300" w:lineRule="auto"/>
        <w:numPr>
          <w:ilvl w:val="0"/>
          <w:numId w:val="10"/>
        </w:numPr>
      </w:pPr>
      <w:r>
        <w:t>只读：Bridge 和 Agent 均不调用写单元格、保存或关闭工作簿的接口。</w:t>
      </w:r>
    </w:p>
    <w:p>
      <w:pPr>
        <w:spacing w:after="80" w:line="300" w:lineRule="auto"/>
        <w:numPr>
          <w:ilvl w:val="0"/>
          <w:numId w:val="10"/>
        </w:numPr>
      </w:pPr>
      <w:r>
        <w:t>多项目隔离：所有兼容表结构可注册为独立项目，每个项目使用独立数据库和备份目录。</w:t>
      </w:r>
    </w:p>
    <w:p>
      <w:pPr>
        <w:spacing w:after="80" w:line="300" w:lineRule="auto"/>
        <w:numPr>
          <w:ilvl w:val="0"/>
          <w:numId w:val="10"/>
        </w:numPr>
      </w:pPr>
      <w:r>
        <w:t>确定性优先：收益、持仓成本、阶段买入均价和时段合并由本地引擎计算；GPT 负责按模板表达。</w:t>
      </w:r>
    </w:p>
    <w:p>
      <w:pPr>
        <w:spacing w:after="80" w:line="300" w:lineRule="auto"/>
        <w:numPr>
          <w:ilvl w:val="0"/>
          <w:numId w:val="10"/>
        </w:numPr>
      </w:pPr>
      <w:r>
        <w:t>可追溯：原始事件、稳定账户状态、项目快照、检测任务、对话记录和备份记录均保存在本机。</w:t>
      </w:r>
    </w:p>
    <w:p>
      <w:pPr>
        <w:spacing w:after="80" w:line="300" w:lineRule="auto"/>
        <w:numPr>
          <w:ilvl w:val="0"/>
          <w:numId w:val="10"/>
        </w:numPr>
      </w:pPr>
      <w:r>
        <w:t>降级可用：WPS Bridge 不可用时，用户手动保存 Excel 后，磁盘实时监控仍会在约 1 秒内读取。</w:t>
      </w:r>
    </w:p>
    <w:p>
      <w:pPr>
        <w:pStyle w:val="Heading1"/>
      </w:pPr>
      <w:r>
        <w:t>3. 工程目录与关键文件</w:t>
      </w:r>
    </w:p>
    <w:p>
      <w:r>
        <w:t>工程目录当前约 107 MB，其中 wps-bridge 约 89 MB（主要为 node_modules），data 约 3.1 MB。大小会随数据库、备份和依赖变化。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目录/文件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作用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交付注意事项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app/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Python 后端：解析、监控、项目管理、检测任务、GPT 接入和 API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核心源码，必须保留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static/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本地 Web 看板的 HTML、JavaScript 和 CSS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核心前端，必须保留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data/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项目注册表、聊天模板、项目数据库、检测任务数据库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业务历史核心，必须保留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backups/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系统按整点或手动生成的 Excel 纯文件备份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建议完整保留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wps-bridge/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WPS JS 加载项源代码、构建产物和 Node 依赖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未保存内存值通道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tests/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核心和多项目自动测试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交付验收依据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config.json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主工作簿、端口、轮询、模型和异常阈值配置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包含本机绝对路径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run.sh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只启动 Python Agent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监听 127.0.0.1:8765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启动APR监控.command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一键启动 Agent、Bridge 和浏览器看板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日常推荐入口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requirements.txt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Python 依赖版本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用于新机器重装环境</w:t>
            </w:r>
          </w:p>
        </w:tc>
      </w:tr>
      <w:tr>
        <w:tc>
          <w:tcPr>
            <w:tcW w:type="dxa" w:w="1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README.md</w:t>
            </w:r>
          </w:p>
        </w:tc>
        <w:tc>
          <w:tcPr>
            <w:tcW w:type="dxa" w:w="42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项目快速说明</w:t>
            </w:r>
          </w:p>
        </w:tc>
        <w:tc>
          <w:tcPr>
            <w:tcW w:type="dxa" w:w="34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与本交付手册配套</w:t>
            </w:r>
          </w:p>
        </w:tc>
      </w:tr>
    </w:tbl>
    <w:p>
      <w:pPr>
        <w:spacing w:after="0"/>
      </w:pPr>
    </w:p>
    <w:p>
      <w:pPr>
        <w:pStyle w:val="Heading2"/>
      </w:pPr>
      <w:r>
        <w:t>核心数据库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内容</w:t>
            </w:r>
          </w:p>
        </w:tc>
      </w:tr>
      <w:tr>
        <w:tc>
          <w:tcPr>
            <w:tcW w:type="dxa" w:w="2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data/apr_monitor.db</w:t>
            </w:r>
          </w:p>
        </w:tc>
        <w:tc>
          <w:tcPr>
            <w:tcW w:type="dxa" w:w="69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APR 项目的快照、事件、账户状态、对话历史、健康和备份记录</w:t>
            </w:r>
          </w:p>
        </w:tc>
      </w:tr>
      <w:tr>
        <w:tc>
          <w:tcPr>
            <w:tcW w:type="dxa" w:w="2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data/projects/apr-2.db</w:t>
            </w:r>
          </w:p>
        </w:tc>
        <w:tc>
          <w:tcPr>
            <w:tcW w:type="dxa" w:w="69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Fight打野 项目的独立历史数据库</w:t>
            </w:r>
          </w:p>
        </w:tc>
      </w:tr>
      <w:tr>
        <w:tc>
          <w:tcPr>
            <w:tcW w:type="dxa" w:w="2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data/control.db</w:t>
            </w:r>
          </w:p>
        </w:tc>
        <w:tc>
          <w:tcPr>
            <w:tcW w:type="dxa" w:w="69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所有项目的检测任务、检测时段、基准值、结束值和报告</w:t>
            </w:r>
          </w:p>
        </w:tc>
      </w:tr>
      <w:tr>
        <w:tc>
          <w:tcPr>
            <w:tcW w:type="dxa" w:w="2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data/projects.json</w:t>
            </w:r>
          </w:p>
        </w:tc>
        <w:tc>
          <w:tcPr>
            <w:tcW w:type="dxa" w:w="69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项目登记、活动项目、工作簿路径和数据库路径</w:t>
            </w:r>
          </w:p>
        </w:tc>
      </w:tr>
      <w:tr>
        <w:tc>
          <w:tcPr>
            <w:tcW w:type="dxa" w:w="2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data/chat_templates.json</w:t>
            </w:r>
          </w:p>
        </w:tc>
        <w:tc>
          <w:tcPr>
            <w:tcW w:type="dxa" w:w="69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用户保存的 GPT 回答模板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6"/>
            <w:tcBorders>
              <w:top w:val="single" w:sz="6" w:color="D8C47A"/>
              <w:left w:val="single" w:sz="6" w:color="D8C47A"/>
              <w:bottom w:val="single" w:sz="6" w:color="D8C47A"/>
              <w:right w:val="single" w:sz="6" w:color="D8C47A"/>
              <w:insideH w:val="single" w:sz="6" w:color="D8C47A"/>
              <w:insideV w:val="single" w:sz="6" w:color="D8C47A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7A5A00"/>
                <w:sz w:val="21"/>
              </w:rPr>
              <w:t xml:space="preserve">SQLite 说明  </w:t>
            </w:r>
            <w:r>
              <w:rPr>
                <w:rFonts w:ascii="Calibri" w:hAnsi="Calibri" w:eastAsia="PingFang SC"/>
                <w:color w:val="17202A"/>
                <w:sz w:val="21"/>
              </w:rPr>
              <w:t>程序运行时可能出现 .db-wal 和 .db-shm 文件。在线复制必须连同它们一起复制；更推荐先停止服务再备份，以获得一致快照。</w:t>
            </w:r>
          </w:p>
        </w:tc>
      </w:tr>
    </w:tbl>
    <w:p>
      <w:pPr>
        <w:spacing w:after="0"/>
      </w:pPr>
    </w:p>
    <w:p>
      <w:pPr>
        <w:pStyle w:val="Heading1"/>
      </w:pPr>
      <w:r>
        <w:t>4. 数据采集与监控模式</w:t>
      </w:r>
    </w:p>
    <w:p>
      <w:pPr>
        <w:pStyle w:val="Heading2"/>
      </w:pPr>
      <w:r>
        <w:t>DISK_REALTIME（默认可靠通道）</w:t>
      </w:r>
    </w:p>
    <w:p>
      <w:r>
        <w:t>Agent 每 1 秒检查已注册工作簿的修改时间。用户在 WPS 点击保存后，系统立即重新读取完整 xlsx 并更新看板、快照和检测事件。该模式不依赖 WPS Bridge。</w:t>
      </w:r>
    </w:p>
    <w:p>
      <w:pPr>
        <w:pStyle w:val="Heading2"/>
      </w:pPr>
      <w:r>
        <w:t>WPS_MEMORY（可选增强通道）</w:t>
      </w:r>
    </w:p>
    <w:p>
      <w:r>
        <w:t>Bridge 枚举 WPS 当前打开的所有兼容工作簿，通过 SheetChange 事件和 15 秒 reconcile 读取未保存内存值，再按工作簿路径发送到对应项目。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状态项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成功标准</w:t>
            </w:r>
          </w:p>
        </w:tc>
      </w:tr>
      <w:tr>
        <w:tc>
          <w:tcPr>
            <w:tcW w:type="dxa" w:w="2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connected</w:t>
            </w:r>
          </w:p>
        </w:tc>
        <w:tc>
          <w:tcPr>
            <w:tcW w:type="dxa" w:w="66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true</w:t>
            </w:r>
          </w:p>
        </w:tc>
      </w:tr>
      <w:tr>
        <w:tc>
          <w:tcPr>
            <w:tcW w:type="dxa" w:w="2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mode</w:t>
            </w:r>
          </w:p>
        </w:tc>
        <w:tc>
          <w:tcPr>
            <w:tcW w:type="dxa" w:w="66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WPS_MEMORY</w:t>
            </w:r>
          </w:p>
        </w:tc>
      </w:tr>
      <w:tr>
        <w:tc>
          <w:tcPr>
            <w:tcW w:type="dxa" w:w="2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event_registered</w:t>
            </w:r>
          </w:p>
        </w:tc>
        <w:tc>
          <w:tcPr>
            <w:tcW w:type="dxa" w:w="66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true</w:t>
            </w:r>
          </w:p>
        </w:tc>
      </w:tr>
      <w:tr>
        <w:tc>
          <w:tcPr>
            <w:tcW w:type="dxa" w:w="27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last_error</w:t>
            </w:r>
          </w:p>
        </w:tc>
        <w:tc>
          <w:tcPr>
            <w:tcW w:type="dxa" w:w="66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null</w:t>
            </w:r>
          </w:p>
        </w:tc>
      </w:tr>
    </w:tbl>
    <w:p>
      <w:pPr>
        <w:spacing w:after="0"/>
      </w:pPr>
    </w:p>
    <w:p>
      <w:r>
        <w:t>诊断接口：http://127.0.0.1:8765/api/v1/bridge/status</w:t>
      </w:r>
    </w:p>
    <w:p>
      <w:r>
        <w:t>已在 WPS Mac 7.5.1（build 8994）完成实机验证：SheetChange 可触发，测试副本未保存值可以被捕获，且文件修改时间和大小未发生变化。不同 WPS 版本仍需重新验证。</w:t>
      </w:r>
    </w:p>
    <w:p>
      <w:pPr>
        <w:pStyle w:val="Heading2"/>
      </w:pPr>
      <w:r>
        <w:t>表格兼容条件</w:t>
      </w:r>
    </w:p>
    <w:p>
      <w:pPr>
        <w:spacing w:after="80" w:line="300" w:lineRule="auto"/>
        <w:numPr>
          <w:ilvl w:val="0"/>
          <w:numId w:val="10"/>
        </w:numPr>
      </w:pPr>
      <w:r>
        <w:t>工作表名称默认必须为“APR实时表”。</w:t>
      </w:r>
    </w:p>
    <w:p>
      <w:pPr>
        <w:spacing w:after="80" w:line="300" w:lineRule="auto"/>
        <w:numPr>
          <w:ilvl w:val="0"/>
          <w:numId w:val="10"/>
        </w:numPr>
      </w:pPr>
      <w:r>
        <w:t>所有项目使用相同表结构；账户列按标题动态识别，新增账户通常无需修改代码。</w:t>
      </w:r>
    </w:p>
    <w:p>
      <w:pPr>
        <w:spacing w:after="80" w:line="300" w:lineRule="auto"/>
        <w:numPr>
          <w:ilvl w:val="0"/>
          <w:numId w:val="10"/>
        </w:numPr>
      </w:pPr>
      <w:r>
        <w:t>数量列支持“现货数量(任意代币)”与“持仓数量(任意代币)”等兼容标题。</w:t>
      </w:r>
    </w:p>
    <w:p>
      <w:pPr>
        <w:spacing w:after="80" w:line="300" w:lineRule="auto"/>
        <w:numPr>
          <w:ilvl w:val="0"/>
          <w:numId w:val="10"/>
        </w:numPr>
      </w:pPr>
      <w:r>
        <w:t>未注册但兼容的 WPS 工作簿只会出现在“管理项目”，不会写入任何项目数据库。</w:t>
      </w:r>
    </w:p>
    <w:p>
      <w:pPr>
        <w:pStyle w:val="Heading1"/>
      </w:pPr>
      <w:r>
        <w:t>5. 数据口径与计算规则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6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确定性口径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总可用资金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所有启用现货账户与合约账户“现有资金”的合计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现货总收益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现货可用资金 + 现货市值 - 现货累计投入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合约总收益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合约现有资金 - 合约累计投入 + 合约未实现收益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项目总收益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现货总收益 + 合约总收益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现货持仓成本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由历史资金与现货数量稳定变动推导，不使用当前市价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阶段买入均价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检测阶段内已知买入成本 ÷ 已知买入数量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现货持仓总均价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表格口径，仅从 APR实时表!G7:H7 的锚点 G7 读取；与阶段买入均价分离</w:t>
            </w:r>
          </w:p>
        </w:tc>
      </w:tr>
      <w:tr>
        <w:tc>
          <w:tcPr>
            <w:tcW w:type="dxa" w:w="245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综合盈亏平衡价</w:t>
            </w:r>
          </w:p>
        </w:tc>
        <w:tc>
          <w:tcPr>
            <w:tcW w:type="dxa" w:w="691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按当前现货与合约净敞口及累计收益计算；无有效敞口时返回状态说明</w:t>
            </w:r>
          </w:p>
        </w:tc>
      </w:tr>
    </w:tbl>
    <w:p>
      <w:pPr>
        <w:spacing w:after="0"/>
      </w:pPr>
    </w:p>
    <w:p>
      <w:pPr>
        <w:pStyle w:val="Heading2"/>
      </w:pPr>
      <w:r>
        <w:t>成本引擎规则</w:t>
      </w:r>
    </w:p>
    <w:p>
      <w:pPr>
        <w:spacing w:after="80" w:line="300" w:lineRule="auto"/>
        <w:numPr>
          <w:ilvl w:val="0"/>
          <w:numId w:val="10"/>
        </w:numPr>
      </w:pPr>
      <w:r>
        <w:t>买入：现货数量增加时，以扣除追加资金影响后的账户资金减少额增加持仓成本。</w:t>
      </w:r>
    </w:p>
    <w:p>
      <w:pPr>
        <w:spacing w:after="80" w:line="300" w:lineRule="auto"/>
        <w:numPr>
          <w:ilvl w:val="0"/>
          <w:numId w:val="10"/>
        </w:numPr>
      </w:pPr>
      <w:r>
        <w:t>卖出：现货数量减少时，按卖出前历史成本均价释放持仓成本，并形成已实现结果。</w:t>
      </w:r>
    </w:p>
    <w:p>
      <w:pPr>
        <w:spacing w:after="80" w:line="300" w:lineRule="auto"/>
        <w:numPr>
          <w:ilvl w:val="0"/>
          <w:numId w:val="10"/>
        </w:numPr>
      </w:pPr>
      <w:r>
        <w:t>若资金或数量变化不足以确定成本，该阶段标记为不完整，不用现货市价猜测。</w:t>
      </w:r>
    </w:p>
    <w:p>
      <w:pPr>
        <w:spacing w:after="80" w:line="300" w:lineRule="auto"/>
        <w:numPr>
          <w:ilvl w:val="0"/>
          <w:numId w:val="10"/>
        </w:numPr>
      </w:pPr>
      <w:r>
        <w:t>阶段买入现货持仓均价绑定 spot_cost_analysis.known_purchase_avg_cost；总持仓均价绑定 G7，两者不得互相替换。</w:t>
      </w:r>
    </w:p>
    <w:p>
      <w:pPr>
        <w:pStyle w:val="Heading1"/>
      </w:pPr>
      <w:r>
        <w:t>6. 检测任务与报告</w:t>
      </w:r>
    </w:p>
    <w:p>
      <w:r>
        <w:t>检测采用“任务—时段”两层结构。一个任务可以包含多个不连续的检测时段，适合做市动作开始、停止、再次开始的业务场景。</w:t>
      </w:r>
    </w:p>
    <w:p>
      <w:pPr>
        <w:spacing w:after="80" w:line="300" w:lineRule="auto"/>
        <w:numPr>
          <w:ilvl w:val="0"/>
          <w:numId w:val="13"/>
        </w:numPr>
      </w:pPr>
      <w:r>
        <w:t>输入任务名称并点击“开始检测”；点击瞬间的稳定快照作为基准。</w:t>
      </w:r>
    </w:p>
    <w:p>
      <w:pPr>
        <w:spacing w:after="80" w:line="300" w:lineRule="auto"/>
        <w:numPr>
          <w:ilvl w:val="0"/>
          <w:numId w:val="13"/>
        </w:numPr>
      </w:pPr>
      <w:r>
        <w:t>点击“停止当前时段”；系统保存结束快照并生成确定性变化报告。</w:t>
      </w:r>
    </w:p>
    <w:p>
      <w:pPr>
        <w:spacing w:after="80" w:line="300" w:lineRule="auto"/>
        <w:numPr>
          <w:ilvl w:val="0"/>
          <w:numId w:val="13"/>
        </w:numPr>
      </w:pPr>
      <w:r>
        <w:t>稍后从任务下拉框选择同一任务再次启动，新的时段继续归入原任务。</w:t>
      </w:r>
    </w:p>
    <w:p>
      <w:pPr>
        <w:spacing w:after="80" w:line="300" w:lineRule="auto"/>
        <w:numPr>
          <w:ilvl w:val="0"/>
          <w:numId w:val="13"/>
        </w:numPr>
      </w:pPr>
      <w:r>
        <w:t>勾选多个已停止时段并点击“合并所选时段”，由后端精确合并变化量。</w:t>
      </w:r>
    </w:p>
    <w:p>
      <w:pPr>
        <w:spacing w:after="80" w:line="300" w:lineRule="auto"/>
        <w:numPr>
          <w:ilvl w:val="0"/>
          <w:numId w:val="13"/>
        </w:numPr>
      </w:pPr>
      <w:r>
        <w:t>完成后点击“结束整个任务”；已生成历史不会删除。</w:t>
      </w:r>
    </w:p>
    <w:p>
      <w:pPr>
        <w:pStyle w:val="Heading2"/>
      </w:pPr>
      <w:r>
        <w:t>当前报告展示规则</w:t>
      </w:r>
    </w:p>
    <w:p>
      <w:pPr>
        <w:spacing w:after="80" w:line="300" w:lineRule="auto"/>
        <w:numPr>
          <w:ilvl w:val="0"/>
          <w:numId w:val="10"/>
        </w:numPr>
      </w:pPr>
      <w:r>
        <w:t>显示检测对象的项目名、工作簿名、完整路径和工作表，防止项目混淆。</w:t>
      </w:r>
    </w:p>
    <w:p>
      <w:pPr>
        <w:spacing w:after="80" w:line="300" w:lineRule="auto"/>
        <w:numPr>
          <w:ilvl w:val="0"/>
          <w:numId w:val="10"/>
        </w:numPr>
      </w:pPr>
      <w:r>
        <w:t>只展示变化指标；不展示累计投入、现货价格和合约价格。</w:t>
      </w:r>
    </w:p>
    <w:p>
      <w:pPr>
        <w:spacing w:after="80" w:line="300" w:lineRule="auto"/>
        <w:numPr>
          <w:ilvl w:val="0"/>
          <w:numId w:val="10"/>
        </w:numPr>
      </w:pPr>
      <w:r>
        <w:t>数量、资金、收益和成本直接截去小数；均价保留必要小数精度。</w:t>
      </w:r>
    </w:p>
    <w:p>
      <w:pPr>
        <w:spacing w:after="80" w:line="300" w:lineRule="auto"/>
        <w:numPr>
          <w:ilvl w:val="0"/>
          <w:numId w:val="10"/>
        </w:numPr>
      </w:pPr>
      <w:r>
        <w:t>现货成本区显示现货总持仓数量、持仓成本变化、阶段买入成本和阶段买入均价；不显示开始/结束持仓成本和总持仓均价。</w:t>
      </w:r>
    </w:p>
    <w:p>
      <w:pPr>
        <w:spacing w:after="80" w:line="300" w:lineRule="auto"/>
        <w:numPr>
          <w:ilvl w:val="0"/>
          <w:numId w:val="10"/>
        </w:numPr>
      </w:pPr>
      <w:r>
        <w:t>账户变化和中间变更事件默认折叠；用户点击后才显示 JSON 明细。</w:t>
      </w:r>
    </w:p>
    <w:p>
      <w:pPr>
        <w:spacing w:after="80" w:line="300" w:lineRule="auto"/>
        <w:numPr>
          <w:ilvl w:val="0"/>
          <w:numId w:val="10"/>
        </w:numPr>
      </w:pPr>
      <w:r>
        <w:t>监控中断或 Bridge/磁盘异常时保留报告，但标记“数据存在监控缺口”。</w:t>
      </w:r>
    </w:p>
    <w:p>
      <w:pPr>
        <w:pStyle w:val="Heading1"/>
      </w:pPr>
      <w:r>
        <w:t>7. GPT 数据对话</w:t>
      </w:r>
    </w:p>
    <w:p>
      <w:r>
        <w:t>数据对话使用 OpenAI Responses API。ChatGPT Plus 订阅不包含 API 调用额度；API Key 需要在 OpenAI API 平台单独创建并开通计费。</w:t>
      </w:r>
    </w:p>
    <w:p>
      <w:pPr>
        <w:pStyle w:val="Heading2"/>
      </w:pPr>
      <w:r>
        <w:t>两种使用模式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适用场景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取数方式</w:t>
            </w:r>
          </w:p>
        </w:tc>
      </w:tr>
      <w:tr>
        <w:tc>
          <w:tcPr>
            <w:tcW w:type="dxa" w:w="21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回答模板（推荐）</w:t>
            </w:r>
          </w:p>
        </w:tc>
        <w:tc>
          <w:tcPr>
            <w:tcW w:type="dxa" w:w="3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固定格式的当前简报、最近检测、合并报告、现货成本报告</w:t>
            </w:r>
          </w:p>
        </w:tc>
        <w:tc>
          <w:tcPr>
            <w:tcW w:type="dxa" w:w="3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后端先确定性取数，再调用一次 GPT 组织语言</w:t>
            </w:r>
          </w:p>
        </w:tc>
      </w:tr>
      <w:tr>
        <w:tc>
          <w:tcPr>
            <w:tcW w:type="dxa" w:w="21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自由问答</w:t>
            </w:r>
          </w:p>
        </w:tc>
        <w:tc>
          <w:tcPr>
            <w:tcW w:type="dxa" w:w="34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临时问题、探索性查询</w:t>
            </w:r>
          </w:p>
        </w:tc>
        <w:tc>
          <w:tcPr>
            <w:tcW w:type="dxa" w:w="3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模型调用受控本地数据工具；关键成本仍由本地引擎提供</w:t>
            </w:r>
          </w:p>
        </w:tc>
      </w:tr>
    </w:tbl>
    <w:p>
      <w:pPr>
        <w:spacing w:after="0"/>
      </w:pPr>
    </w:p>
    <w:p>
      <w:pPr>
        <w:pStyle w:val="Heading2"/>
      </w:pPr>
      <w:r>
        <w:t>准确性约束</w:t>
      </w:r>
    </w:p>
    <w:p>
      <w:pPr>
        <w:spacing w:after="80" w:line="300" w:lineRule="auto"/>
        <w:numPr>
          <w:ilvl w:val="0"/>
          <w:numId w:val="10"/>
        </w:numPr>
      </w:pPr>
      <w:r>
        <w:t>GPT 不得用现货市价替代持仓成本均价或阶段买入均价。</w:t>
      </w:r>
    </w:p>
    <w:p>
      <w:pPr>
        <w:spacing w:after="80" w:line="300" w:lineRule="auto"/>
        <w:numPr>
          <w:ilvl w:val="0"/>
          <w:numId w:val="10"/>
        </w:numPr>
      </w:pPr>
      <w:r>
        <w:t>总持仓均价仅可使用 G7；阶段买入均价仅可使用检测报告的 known_purchase_avg_cost。</w:t>
      </w:r>
    </w:p>
    <w:p>
      <w:pPr>
        <w:spacing w:after="80" w:line="300" w:lineRule="auto"/>
        <w:numPr>
          <w:ilvl w:val="0"/>
          <w:numId w:val="10"/>
        </w:numPr>
      </w:pPr>
      <w:r>
        <w:t>多个检测时段必须使用后端合并结果，不允许模型自行心算。</w:t>
      </w:r>
    </w:p>
    <w:p>
      <w:pPr>
        <w:spacing w:after="80" w:line="300" w:lineRule="auto"/>
        <w:numPr>
          <w:ilvl w:val="0"/>
          <w:numId w:val="10"/>
        </w:numPr>
      </w:pPr>
      <w:r>
        <w:t>生成回答后仍执行本地字段校验，防止总持仓均价误覆盖阶段买入均价。</w:t>
      </w:r>
    </w:p>
    <w:p>
      <w:pPr>
        <w:spacing w:after="80" w:line="300" w:lineRule="auto"/>
        <w:numPr>
          <w:ilvl w:val="0"/>
          <w:numId w:val="10"/>
        </w:numPr>
      </w:pPr>
      <w:r>
        <w:t>每个项目永久保存问题、回答、模板、模型和时间；切换项目后加载对应历史。</w:t>
      </w:r>
    </w:p>
    <w:p>
      <w:pPr>
        <w:pStyle w:val="Heading2"/>
      </w:pPr>
      <w:r>
        <w:t>API Key 存储</w:t>
      </w:r>
    </w:p>
    <w:p>
      <w:r>
        <w:t>页面“数据对话 → API 设置”保存的 Key 只写入 macOS 钥匙串服务 APRMonitorOpenAI，不写入源码、浏览器存储或 SQLite。迁移到新 Mac 后必须重新录入；也可通过 OPENAI_API_KEY 环境变量提供。默认模型为 config.json 中的 gpt-5-mini，可用 OPENAI_MODEL 覆盖。</w:t>
      </w:r>
    </w:p>
    <w:p>
      <w:pPr>
        <w:pStyle w:val="Heading1"/>
      </w:pPr>
      <w:r>
        <w:t>8. 页面功能说明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区域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功能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顶部项目选择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切换正在查看的项目，并显示工作簿和当前监控模式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管理项目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注册打开的兼容工作簿、浏览文件、移除项目；移除不删除数据库和备份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启动检测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创建任务、开始/停止时段、查看报告、勾选并合并时段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汇总卡片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累计投入、总可用资金、现货/合约/项目总收益和综合盈亏平衡价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现货仓位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数量、成本均价、可用资金、市值、持仓收益与现货总收益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合约仓位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多空数量、均价、Gross/Net、已实现、未实现与合约总收益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数据对话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大尺寸完整历史区、回答模板、自由问答和 API 设置</w:t>
            </w:r>
          </w:p>
        </w:tc>
      </w:tr>
      <w:tr>
        <w:tc>
          <w:tcPr>
            <w:tcW w:type="dxa" w:w="2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账户明细</w:t>
            </w:r>
          </w:p>
        </w:tc>
        <w:tc>
          <w:tcPr>
            <w:tcW w:type="dxa" w:w="70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位于页面最下方，列出现货与合约账户状态</w:t>
            </w:r>
          </w:p>
        </w:tc>
      </w:tr>
    </w:tbl>
    <w:p>
      <w:pPr>
        <w:spacing w:after="0"/>
      </w:pPr>
    </w:p>
    <w:p>
      <w:r>
        <w:t>“分钟净变化（1/5/10 分钟）”模块目前仅隐藏显示，后端净变化接口仍保留。</w:t>
      </w:r>
    </w:p>
    <w:p>
      <w:pPr>
        <w:pStyle w:val="Heading1"/>
      </w:pPr>
      <w:r>
        <w:t>9. 启动、停止与日常操作</w:t>
      </w:r>
    </w:p>
    <w:p>
      <w:pPr>
        <w:pStyle w:val="Heading2"/>
      </w:pPr>
      <w:r>
        <w:t>推荐启动方式</w:t>
      </w:r>
    </w:p>
    <w:p>
      <w:r>
        <w:t>双击工程根目录中的“启动APR监控.command”。启动器会检查并启动 Agent、WPS Bridge 页面服务，然后打开监控看板。</w:t>
      </w:r>
    </w:p>
    <w:p>
      <w:pPr>
        <w:pStyle w:val="CodeBlock"/>
        <w:keepLines/>
        <w:shd w:fill="F2F4F7"/>
      </w:pPr>
      <w:r>
        <w:rPr>
          <w:rFonts w:ascii="Menlo" w:hAnsi="Menlo" w:eastAsia="Menlo"/>
          <w:sz w:val="17"/>
        </w:rPr>
        <w:t>工程目录：/Users/xingxiu/Desktop/MM表格数据汇报</w:t>
        <w:br/>
        <w:t>Agent：http://127.0.0.1:8765</w:t>
        <w:br/>
        <w:t>Bridge：http://127.0.0.1:3889/index.html</w:t>
      </w:r>
    </w:p>
    <w:p>
      <w:pPr>
        <w:pStyle w:val="Heading2"/>
      </w:pPr>
      <w:r>
        <w:t>只启动 Agent</w:t>
      </w:r>
    </w:p>
    <w:p>
      <w:pPr>
        <w:pStyle w:val="CodeBlock"/>
        <w:keepLines/>
        <w:shd w:fill="F2F4F7"/>
      </w:pPr>
      <w:r>
        <w:rPr>
          <w:rFonts w:ascii="Menlo" w:hAnsi="Menlo" w:eastAsia="Menlo"/>
          <w:sz w:val="17"/>
        </w:rPr>
        <w:t>cd "/Users/xingxiu/Desktop/MM表格数据汇报"</w:t>
        <w:br/>
        <w:t>chmod +x run.sh</w:t>
        <w:br/>
        <w:t>./run.sh</w:t>
      </w:r>
    </w:p>
    <w:p>
      <w:pPr>
        <w:pStyle w:val="Heading2"/>
      </w:pPr>
      <w:r>
        <w:t>日常操作顺序</w:t>
      </w:r>
    </w:p>
    <w:p>
      <w:pPr>
        <w:spacing w:after="80" w:line="300" w:lineRule="auto"/>
        <w:numPr>
          <w:ilvl w:val="0"/>
          <w:numId w:val="14"/>
        </w:numPr>
      </w:pPr>
      <w:r>
        <w:t>打开并确认正确的业务工作簿，检查工作表名称为 APR实时表。</w:t>
      </w:r>
    </w:p>
    <w:p>
      <w:pPr>
        <w:spacing w:after="80" w:line="300" w:lineRule="auto"/>
        <w:numPr>
          <w:ilvl w:val="0"/>
          <w:numId w:val="14"/>
        </w:numPr>
      </w:pPr>
      <w:r>
        <w:t>启动系统，在顶部确认“当前检测”显示的项目、文件名和完整路径。</w:t>
      </w:r>
    </w:p>
    <w:p>
      <w:pPr>
        <w:spacing w:after="80" w:line="300" w:lineRule="auto"/>
        <w:numPr>
          <w:ilvl w:val="0"/>
          <w:numId w:val="14"/>
        </w:numPr>
      </w:pPr>
      <w:r>
        <w:t>若使用磁盘模式，修改完成后在 WPS 手动保存，并观察“最近抓取”时间更新。</w:t>
      </w:r>
    </w:p>
    <w:p>
      <w:pPr>
        <w:spacing w:after="80" w:line="300" w:lineRule="auto"/>
        <w:numPr>
          <w:ilvl w:val="0"/>
          <w:numId w:val="14"/>
        </w:numPr>
      </w:pPr>
      <w:r>
        <w:t>做市动作开始前启动检测，动作结束后停止当前时段。</w:t>
      </w:r>
    </w:p>
    <w:p>
      <w:pPr>
        <w:spacing w:after="80" w:line="300" w:lineRule="auto"/>
        <w:numPr>
          <w:ilvl w:val="0"/>
          <w:numId w:val="14"/>
        </w:numPr>
      </w:pPr>
      <w:r>
        <w:t>查看报告的数据完整性、阶段买入均价和异常账户，再按模板生成对外汇报。</w:t>
      </w:r>
    </w:p>
    <w:p>
      <w:pPr>
        <w:pStyle w:val="Heading2"/>
      </w:pPr>
      <w:r>
        <w:t>停止方式</w:t>
      </w:r>
    </w:p>
    <w:p>
      <w:r>
        <w:t>关闭浏览器标签不会停止监控。需要完全停止时，应先停止正在运行的检测时段，再在运行 Agent 和 Bridge 的终端中按 Control+C，或通过 macOS 活动监视器结束对应 Python/Node 进程。不要在写入数据库时强制关机。</w:t>
      </w:r>
    </w:p>
    <w:p>
      <w:pPr>
        <w:pStyle w:val="Heading1"/>
      </w:pPr>
      <w:r>
        <w:t>10. 备份与恢复</w:t>
      </w:r>
    </w:p>
    <w:p>
      <w:pPr>
        <w:pStyle w:val="Heading2"/>
      </w:pPr>
      <w:r>
        <w:t>推荐的完整离线备份</w:t>
      </w:r>
    </w:p>
    <w:p>
      <w:pPr>
        <w:spacing w:after="80" w:line="300" w:lineRule="auto"/>
        <w:numPr>
          <w:ilvl w:val="0"/>
          <w:numId w:val="15"/>
        </w:numPr>
      </w:pPr>
      <w:r>
        <w:t>在 WPS 中保存所有业务工作簿，并停止当前检测时段。</w:t>
      </w:r>
    </w:p>
    <w:p>
      <w:pPr>
        <w:spacing w:after="80" w:line="300" w:lineRule="auto"/>
        <w:numPr>
          <w:ilvl w:val="0"/>
          <w:numId w:val="15"/>
        </w:numPr>
      </w:pPr>
      <w:r>
        <w:t>停止 Agent 和 Bridge；确认工程 data 目录内的 .db-wal 文件不再持续变化。</w:t>
      </w:r>
    </w:p>
    <w:p>
      <w:pPr>
        <w:spacing w:after="80" w:line="300" w:lineRule="auto"/>
        <w:numPr>
          <w:ilvl w:val="0"/>
          <w:numId w:val="15"/>
        </w:numPr>
      </w:pPr>
      <w:r>
        <w:t>复制整个 /Users/xingxiu/Desktop/MM表格数据汇报 文件夹。</w:t>
      </w:r>
    </w:p>
    <w:p>
      <w:pPr>
        <w:spacing w:after="80" w:line="300" w:lineRule="auto"/>
        <w:numPr>
          <w:ilvl w:val="0"/>
          <w:numId w:val="15"/>
        </w:numPr>
      </w:pPr>
      <w:r>
        <w:t>同时复制 /Users/xingxiu/Desktop/APR_做市实时表_V3_美化版.xlsx 和 /Users/xingxiu/Desktop/Fight打野.xlsx。</w:t>
      </w:r>
    </w:p>
    <w:p>
      <w:pPr>
        <w:spacing w:after="80" w:line="300" w:lineRule="auto"/>
        <w:numPr>
          <w:ilvl w:val="0"/>
          <w:numId w:val="15"/>
        </w:numPr>
      </w:pPr>
      <w:r>
        <w:t>可选：备份 WPS publish.xml；记录需要在新机器重新录入 OpenAI API Key。</w:t>
      </w:r>
    </w:p>
    <w:p>
      <w:pPr>
        <w:spacing w:after="80" w:line="300" w:lineRule="auto"/>
        <w:numPr>
          <w:ilvl w:val="0"/>
          <w:numId w:val="15"/>
        </w:numPr>
      </w:pPr>
      <w:r>
        <w:t>将备份放到带日期的独立目录或外置磁盘，并检查文件数量和大小。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  <w:tcBorders>
              <w:top w:val="single" w:sz="6" w:color="D8C47A"/>
              <w:left w:val="single" w:sz="6" w:color="D8C47A"/>
              <w:bottom w:val="single" w:sz="6" w:color="D8C47A"/>
              <w:right w:val="single" w:sz="6" w:color="D8C47A"/>
              <w:insideH w:val="single" w:sz="6" w:color="D8C47A"/>
              <w:insideV w:val="single" w:sz="6" w:color="D8C47A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C6B46"/>
                <w:sz w:val="21"/>
              </w:rPr>
              <w:t xml:space="preserve">推荐命名  </w:t>
            </w:r>
            <w:r>
              <w:rPr>
                <w:rFonts w:ascii="Calibri" w:hAnsi="Calibri" w:eastAsia="PingFang SC"/>
                <w:color w:val="17202A"/>
                <w:sz w:val="21"/>
              </w:rPr>
              <w:t>做市表格实时监控系统_完整备份_2026-08-16。不要覆盖唯一一份旧备份，至少保留两个时间点。</w:t>
            </w:r>
          </w:p>
        </w:tc>
      </w:tr>
    </w:tbl>
    <w:p>
      <w:pPr>
        <w:spacing w:after="0"/>
      </w:pPr>
    </w:p>
    <w:p>
      <w:pPr>
        <w:pStyle w:val="Heading2"/>
      </w:pPr>
      <w:r>
        <w:t>在线紧急备份</w:t>
      </w:r>
    </w:p>
    <w:p>
      <w:r>
        <w:t>若无法停机，必须把每个 SQLite 数据库对应的 .db、.db-wal 和 .db-shm 一起复制，并同时复制业务表格。在线文件级复制仍可能跨越事务边界，因此仅作为应急方案。系统的 Excel 纯文件备份目录不能代替数据库备份。</w:t>
      </w:r>
    </w:p>
    <w:p>
      <w:pPr>
        <w:pStyle w:val="Heading2"/>
      </w:pPr>
      <w:r>
        <w:t>恢复到原 Mac 路径</w:t>
      </w:r>
    </w:p>
    <w:p>
      <w:pPr>
        <w:spacing w:after="80" w:line="300" w:lineRule="auto"/>
        <w:numPr>
          <w:ilvl w:val="0"/>
          <w:numId w:val="16"/>
        </w:numPr>
      </w:pPr>
      <w:r>
        <w:t>停止现有服务，将工程目录恢复到原路径。</w:t>
      </w:r>
    </w:p>
    <w:p>
      <w:pPr>
        <w:spacing w:after="80" w:line="300" w:lineRule="auto"/>
        <w:numPr>
          <w:ilvl w:val="0"/>
          <w:numId w:val="16"/>
        </w:numPr>
      </w:pPr>
      <w:r>
        <w:t>把业务工作簿恢复到 projects.json 和 config.json 记录的原路径。</w:t>
      </w:r>
    </w:p>
    <w:p>
      <w:pPr>
        <w:spacing w:after="80" w:line="300" w:lineRule="auto"/>
        <w:numPr>
          <w:ilvl w:val="0"/>
          <w:numId w:val="16"/>
        </w:numPr>
      </w:pPr>
      <w:r>
        <w:t>确认 Python 依赖和 Node 依赖存在；缺失时按 requirements.txt 和 wps-bridge/package.json 重装。</w:t>
      </w:r>
    </w:p>
    <w:p>
      <w:pPr>
        <w:spacing w:after="80" w:line="300" w:lineRule="auto"/>
        <w:numPr>
          <w:ilvl w:val="0"/>
          <w:numId w:val="16"/>
        </w:numPr>
      </w:pPr>
      <w:r>
        <w:t>双击启动器，检查项目列表、最近抓取时间、检测历史和对话历史。</w:t>
      </w:r>
    </w:p>
    <w:p>
      <w:pPr>
        <w:spacing w:after="80" w:line="300" w:lineRule="auto"/>
        <w:numPr>
          <w:ilvl w:val="0"/>
          <w:numId w:val="16"/>
        </w:numPr>
      </w:pPr>
      <w:r>
        <w:t>重新录入 OpenAI API Key；如需未保存内存值，重新安装 WPS 加载项并重启 WPS。</w:t>
      </w:r>
    </w:p>
    <w:p>
      <w:pPr>
        <w:pStyle w:val="Heading2"/>
      </w:pPr>
      <w:r>
        <w:t>迁移到不同路径或新 Mac</w:t>
      </w:r>
    </w:p>
    <w:p>
      <w:r>
        <w:t>config.json 和 data/projects.json 当前包含绝对路径。迁移后应更新主工作簿路径，或在页面“管理项目”重新注册新的工作簿位置。重新注册同一业务表格时应核对是否复用原 project_id 和数据库，避免产生重复项目。</w:t>
      </w:r>
    </w:p>
    <w:p>
      <w:pPr>
        <w:pStyle w:val="Heading1"/>
      </w:pPr>
      <w:r>
        <w:t>11. 接口、数据库与安全</w:t>
      </w:r>
    </w:p>
    <w:p>
      <w:pPr>
        <w:pStyle w:val="Heading2"/>
      </w:pPr>
      <w:r>
        <w:t>主要本地接口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接口组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典型路径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/api/v1/projects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列表、注册、选择和移除项目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汇总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/api/v1/summary/current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当前汇总、账户、收益、健康和质量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健康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/api/v1/health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轮询状态、延迟、告警和最近备份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Bridge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/api/v1/bridge/status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WPS 内存通道诊断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检测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/api/v1/detections/tasks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任务、时段、报告与合并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对话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/api/v1/chat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模板或自由问答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对话历史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/api/v1/chat/history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按项目恢复完整对话</w:t>
            </w:r>
          </w:p>
        </w:tc>
      </w:tr>
      <w:tr>
        <w:tc>
          <w:tcPr>
            <w:tcW w:type="dxa" w:w="18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手动备份</w:t>
            </w:r>
          </w:p>
        </w:tc>
        <w:tc>
          <w:tcPr>
            <w:tcW w:type="dxa" w:w="33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enlo" w:hAnsi="Menlo" w:eastAsia="Menlo"/>
                <w:color w:val="17202A"/>
                <w:sz w:val="18"/>
              </w:rPr>
              <w:t>/api/v1/admin/backup</w:t>
            </w:r>
          </w:p>
        </w:tc>
        <w:tc>
          <w:tcPr>
            <w:tcW w:type="dxa" w:w="42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立即生成当前项目 Excel 文件备份</w:t>
            </w:r>
          </w:p>
        </w:tc>
      </w:tr>
    </w:tbl>
    <w:p>
      <w:pPr>
        <w:spacing w:after="0"/>
      </w:pPr>
    </w:p>
    <w:p>
      <w:r>
        <w:t>完整接口和请求模型以 http://127.0.0.1:8765/docs 为准。</w:t>
      </w:r>
    </w:p>
    <w:p>
      <w:pPr>
        <w:pStyle w:val="Heading2"/>
      </w:pPr>
      <w:r>
        <w:t>SQLite 主要数据</w:t>
      </w:r>
    </w:p>
    <w:p>
      <w:pPr>
        <w:spacing w:after="80" w:line="300" w:lineRule="auto"/>
        <w:numPr>
          <w:ilvl w:val="0"/>
          <w:numId w:val="10"/>
        </w:numPr>
      </w:pPr>
      <w:r>
        <w:t>raw_events：原始字段变化事件。</w:t>
      </w:r>
    </w:p>
    <w:p>
      <w:pPr>
        <w:spacing w:after="80" w:line="300" w:lineRule="auto"/>
        <w:numPr>
          <w:ilvl w:val="0"/>
          <w:numId w:val="10"/>
        </w:numPr>
      </w:pPr>
      <w:r>
        <w:t>stable_account_states：稳定窗口后的账户状态。</w:t>
      </w:r>
    </w:p>
    <w:p>
      <w:pPr>
        <w:spacing w:after="80" w:line="300" w:lineRule="auto"/>
        <w:numPr>
          <w:ilvl w:val="0"/>
          <w:numId w:val="10"/>
        </w:numPr>
      </w:pPr>
      <w:r>
        <w:t>project_snapshots / global_states：项目汇总快照与全局状态。</w:t>
      </w:r>
    </w:p>
    <w:p>
      <w:pPr>
        <w:spacing w:after="80" w:line="300" w:lineRule="auto"/>
        <w:numPr>
          <w:ilvl w:val="0"/>
          <w:numId w:val="10"/>
        </w:numPr>
      </w:pPr>
      <w:r>
        <w:t>monitor_health：监控间断和健康记录。</w:t>
      </w:r>
    </w:p>
    <w:p>
      <w:pPr>
        <w:spacing w:after="80" w:line="300" w:lineRule="auto"/>
        <w:numPr>
          <w:ilvl w:val="0"/>
          <w:numId w:val="10"/>
        </w:numPr>
      </w:pPr>
      <w:r>
        <w:t>chat_interactions：问题、回答、模型、模板和时段引用。</w:t>
      </w:r>
    </w:p>
    <w:p>
      <w:pPr>
        <w:spacing w:after="80" w:line="300" w:lineRule="auto"/>
        <w:numPr>
          <w:ilvl w:val="0"/>
          <w:numId w:val="10"/>
        </w:numPr>
      </w:pPr>
      <w:r>
        <w:t>detection_tasks / detection_segments：检测任务、基准、结束状态和报告 JSON。</w:t>
      </w:r>
    </w:p>
    <w:p>
      <w:pPr>
        <w:pStyle w:val="Heading2"/>
      </w:pPr>
      <w:r>
        <w:t>安全边界</w:t>
      </w:r>
    </w:p>
    <w:p>
      <w:pPr>
        <w:spacing w:after="80" w:line="300" w:lineRule="auto"/>
        <w:numPr>
          <w:ilvl w:val="0"/>
          <w:numId w:val="10"/>
        </w:numPr>
      </w:pPr>
      <w:r>
        <w:t>Web 服务只监听 127.0.0.1，默认不对局域网或公网开放。</w:t>
      </w:r>
    </w:p>
    <w:p>
      <w:pPr>
        <w:spacing w:after="80" w:line="300" w:lineRule="auto"/>
        <w:numPr>
          <w:ilvl w:val="0"/>
          <w:numId w:val="10"/>
        </w:numPr>
      </w:pPr>
      <w:r>
        <w:t>业务工作簿由 Agent 和 Bridge 只读访问。</w:t>
      </w:r>
    </w:p>
    <w:p>
      <w:pPr>
        <w:spacing w:after="80" w:line="300" w:lineRule="auto"/>
        <w:numPr>
          <w:ilvl w:val="0"/>
          <w:numId w:val="10"/>
        </w:numPr>
      </w:pPr>
      <w:r>
        <w:t>API Key 位于 macOS 钥匙串，不进入交付文件。</w:t>
      </w:r>
    </w:p>
    <w:p>
      <w:pPr>
        <w:spacing w:after="80" w:line="300" w:lineRule="auto"/>
        <w:numPr>
          <w:ilvl w:val="0"/>
          <w:numId w:val="10"/>
        </w:numPr>
      </w:pPr>
      <w:r>
        <w:t>CORS 当前允许本机页面调用；若未来改为对外监听，必须增加身份认证、来源限制和 TLS。</w:t>
      </w:r>
    </w:p>
    <w:p>
      <w:pPr>
        <w:pStyle w:val="Heading1"/>
      </w:pPr>
      <w:r>
        <w:t>12. 验收、限制与故障排查</w:t>
      </w:r>
    </w:p>
    <w:p>
      <w:pPr>
        <w:pStyle w:val="Heading2"/>
      </w:pPr>
      <w:r>
        <w:t>交付验收清单</w:t>
      </w:r>
    </w:p>
    <w:p>
      <w:pPr>
        <w:spacing w:after="80" w:line="300" w:lineRule="auto"/>
        <w:numPr>
          <w:ilvl w:val="0"/>
          <w:numId w:val="10"/>
        </w:numPr>
      </w:pPr>
      <w:r>
        <w:t>双击启动器后，8765 看板和 3889 Bridge 页面均可访问。</w:t>
      </w:r>
    </w:p>
    <w:p>
      <w:pPr>
        <w:spacing w:after="80" w:line="300" w:lineRule="auto"/>
        <w:numPr>
          <w:ilvl w:val="0"/>
          <w:numId w:val="10"/>
        </w:numPr>
      </w:pPr>
      <w:r>
        <w:t>顶部显示正确项目、工作簿路径、工作表和 DISK_REALTIME/WPS_MEMORY 状态。</w:t>
      </w:r>
    </w:p>
    <w:p>
      <w:pPr>
        <w:spacing w:after="80" w:line="300" w:lineRule="auto"/>
        <w:numPr>
          <w:ilvl w:val="0"/>
          <w:numId w:val="10"/>
        </w:numPr>
      </w:pPr>
      <w:r>
        <w:t>在 WPS 修改并保存一个非关键测试值后，“最近抓取”时间更新。</w:t>
      </w:r>
    </w:p>
    <w:p>
      <w:pPr>
        <w:spacing w:after="80" w:line="300" w:lineRule="auto"/>
        <w:numPr>
          <w:ilvl w:val="0"/>
          <w:numId w:val="10"/>
        </w:numPr>
      </w:pPr>
      <w:r>
        <w:t>启动并停止一个测试时段，可生成报告；账户变化和中间事件默认收起。</w:t>
      </w:r>
    </w:p>
    <w:p>
      <w:pPr>
        <w:spacing w:after="80" w:line="300" w:lineRule="auto"/>
        <w:numPr>
          <w:ilvl w:val="0"/>
          <w:numId w:val="10"/>
        </w:numPr>
      </w:pPr>
      <w:r>
        <w:t>阶段买入均价与检测报告 known_purchase_avg_cost 一致，不等于 G7 总持仓均价。</w:t>
      </w:r>
    </w:p>
    <w:p>
      <w:pPr>
        <w:spacing w:after="80" w:line="300" w:lineRule="auto"/>
        <w:numPr>
          <w:ilvl w:val="0"/>
          <w:numId w:val="10"/>
        </w:numPr>
      </w:pPr>
      <w:r>
        <w:t>数据对话重新生成报告后，新回答写入并在刷新页面后保留。</w:t>
      </w:r>
    </w:p>
    <w:p>
      <w:pPr>
        <w:spacing w:after="80" w:line="300" w:lineRule="auto"/>
        <w:numPr>
          <w:ilvl w:val="0"/>
          <w:numId w:val="10"/>
        </w:numPr>
      </w:pPr>
      <w:r>
        <w:t>页面最下方显示账户明细；数据对话位于账户明细上方且使用大尺寸区域。</w:t>
      </w:r>
    </w:p>
    <w:p>
      <w:pPr>
        <w:spacing w:after="80" w:line="300" w:lineRule="auto"/>
        <w:numPr>
          <w:ilvl w:val="0"/>
          <w:numId w:val="10"/>
        </w:numPr>
      </w:pPr>
      <w:r>
        <w:t>运行 python3 -m unittest discover -s tests -q，当前应通过 12 项测试。</w:t>
      </w:r>
    </w:p>
    <w:p>
      <w:pPr>
        <w:pStyle w:val="Heading2"/>
      </w:pPr>
      <w:r>
        <w:t>已知限制</w:t>
      </w:r>
    </w:p>
    <w:p>
      <w:pPr>
        <w:spacing w:after="80" w:line="300" w:lineRule="auto"/>
        <w:numPr>
          <w:ilvl w:val="0"/>
          <w:numId w:val="10"/>
        </w:numPr>
      </w:pPr>
      <w:r>
        <w:t>磁盘模式只能看到已保存值；未保存值依赖 WPS Bridge 和具体 WPS Mac 版本行为。</w:t>
      </w:r>
    </w:p>
    <w:p>
      <w:pPr>
        <w:spacing w:after="80" w:line="300" w:lineRule="auto"/>
        <w:numPr>
          <w:ilvl w:val="0"/>
          <w:numId w:val="10"/>
        </w:numPr>
      </w:pPr>
      <w:r>
        <w:t>所有项目必须使用兼容表结构和 APR实时表 工作表名称。</w:t>
      </w:r>
    </w:p>
    <w:p>
      <w:pPr>
        <w:spacing w:after="80" w:line="300" w:lineRule="auto"/>
        <w:numPr>
          <w:ilvl w:val="0"/>
          <w:numId w:val="10"/>
        </w:numPr>
      </w:pPr>
      <w:r>
        <w:t>GPT 回答依赖 OpenAI API 网络与独立计费；无 Key 时仅使用本地规则回答。</w:t>
      </w:r>
    </w:p>
    <w:p>
      <w:pPr>
        <w:spacing w:after="80" w:line="300" w:lineRule="auto"/>
        <w:numPr>
          <w:ilvl w:val="0"/>
          <w:numId w:val="10"/>
        </w:numPr>
      </w:pPr>
      <w:r>
        <w:t>历史旧版本若只保存过问题，当时未入库的回答无法恢复。</w:t>
      </w:r>
    </w:p>
    <w:p>
      <w:pPr>
        <w:spacing w:after="80" w:line="300" w:lineRule="auto"/>
        <w:numPr>
          <w:ilvl w:val="0"/>
          <w:numId w:val="10"/>
        </w:numPr>
      </w:pPr>
      <w:r>
        <w:t>检测期间若监控间断，报告会标记缺口，不能把缺口期间的净变化视为完整事实。</w:t>
      </w:r>
    </w:p>
    <w:p>
      <w:pPr>
        <w:spacing w:after="80" w:line="300" w:lineRule="auto"/>
        <w:numPr>
          <w:ilvl w:val="0"/>
          <w:numId w:val="10"/>
        </w:numPr>
      </w:pPr>
      <w:r>
        <w:t>当前“分钟净变化”前端模块已隐藏，但接口和内部能力仍保留。</w:t>
      </w:r>
    </w:p>
    <w:p>
      <w:pPr>
        <w:pStyle w:val="Heading2"/>
      </w:pPr>
      <w:r>
        <w:t>常见故障处理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检查与处理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看板打不开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确认 Agent 是否运行；查看 logs/agent.log；检查 8765 端口。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保存后时间不更新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确认顶部检测的是正确文件；检查文件路径、mtime、工作表名称和 /api/v1/health。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未保存值不更新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检查 /api/v1/bridge/status；重新运行 wpsjs debug，完整退出并重启 WPS。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项目混淆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以检测区域显示的项目名、工作簿名、完整路径和工作表为准。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GPT 数字不准确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优先检查检测报告确定性字段；确认使用正确模板；新报告才应用最新校验，历史回答不会被改写。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数据不完整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检查 DATA_INCOMPLETE、DATA_INCONSISTENT、磁盘轮询和 Bridge 告警；不要手工忽略缺口。</w:t>
            </w:r>
          </w:p>
        </w:tc>
      </w:tr>
      <w:tr>
        <w:tc>
          <w:tcPr>
            <w:tcW w:type="dxa" w:w="250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迁移后找不到表格</w:t>
            </w:r>
          </w:p>
        </w:tc>
        <w:tc>
          <w:tcPr>
            <w:tcW w:type="dxa" w:w="6860"/>
            <w:tcBorders>
              <w:top w:val="single" w:sz="6" w:color="B8C4CF"/>
              <w:left w:val="single" w:sz="6" w:color="B8C4CF"/>
              <w:bottom w:val="single" w:sz="6" w:color="B8C4CF"/>
              <w:right w:val="single" w:sz="6" w:color="B8C4CF"/>
              <w:insideH w:val="single" w:sz="6" w:color="B8C4CF"/>
              <w:insideV w:val="single" w:sz="6" w:color="B8C4C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color w:val="17202A"/>
                <w:sz w:val="18"/>
              </w:rPr>
              <w:t>更新 config.json / projects.json 的绝对路径，或在管理项目中重新注册。</w:t>
            </w:r>
          </w:p>
        </w:tc>
      </w:tr>
    </w:tbl>
    <w:p>
      <w:pPr>
        <w:spacing w:after="0"/>
      </w:pPr>
    </w:p>
    <w:p>
      <w:pPr>
        <w:pStyle w:val="Heading1"/>
      </w:pPr>
      <w:r>
        <w:t>交付确认</w:t>
      </w:r>
    </w:p>
    <w:p>
      <w:r>
        <w:t>截至本说明生成时，系统已完成多项目监控、磁盘实时抓取、WPS 未保存内存值 Bridge、检测任务与多时段合并、现货/合约/项目收益、确定性现货成本、GPT 模板与自由问答、永久对话历史、项目移除、报告折叠和页面布局优化。最新自动测试共 12 项，全部通过。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0"/>
            <w:tcBorders>
              <w:top w:val="single" w:sz="6" w:color="D8C47A"/>
              <w:left w:val="single" w:sz="6" w:color="D8C47A"/>
              <w:bottom w:val="single" w:sz="6" w:color="D8C47A"/>
              <w:right w:val="single" w:sz="6" w:color="D8C47A"/>
              <w:insideH w:val="single" w:sz="6" w:color="D8C47A"/>
              <w:insideV w:val="single" w:sz="6" w:color="D8C47A"/>
            </w:tcBorders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C6B46"/>
                <w:sz w:val="21"/>
              </w:rPr>
              <w:t xml:space="preserve">最终备份范围  </w:t>
            </w:r>
            <w:r>
              <w:rPr>
                <w:rFonts w:ascii="Calibri" w:hAnsi="Calibri" w:eastAsia="PingFang SC"/>
                <w:color w:val="17202A"/>
                <w:sz w:val="21"/>
              </w:rPr>
              <w:t>工程根目录 + 所有已注册业务工作簿 +（建议）WPS publish.xml。OpenAI API Key 不在文件中，恢复后单独录入。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D6D7E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PingFang SC"/>
        <w:color w:val="5D6D7E"/>
        <w:sz w:val="17"/>
      </w:rPr>
      <w:t>做市表格实时监控系统  ·  交付与运维手册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PingFang SC"/>
      </w:r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64" w:lineRule="auto"/>
      <w:ind w:left="259" w:right="259"/>
    </w:pPr>
    <w:rPr>
      <w:rFonts w:ascii="Menlo" w:hAnsi="Menlo" w:eastAsia="PingFang SC"/>
      <w:color w:val="1720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做市表格实时监控系统 - 完整交付说明 V3.2</dc:title>
  <dc:subject>系统交付、备份、恢复与运维手册</dc:subject>
  <dc:creator>项目交付文档</dc:creator>
  <cp:keywords>做市, WPS, Excel, 实时监控, 交付, 备份, GPT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